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outlineLvl w:val="0"/>
        <w:rPr>
          <w:rFonts w:hint="eastAsia" w:ascii="仿宋" w:hAnsi="仿宋" w:eastAsia="仿宋" w:cs="仿宋"/>
          <w:b/>
          <w:color w:val="auto"/>
          <w:sz w:val="72"/>
          <w:szCs w:val="72"/>
          <w:highlight w:val="none"/>
        </w:rPr>
      </w:pPr>
      <w:bookmarkStart w:id="0" w:name="_Hlt67893495"/>
      <w:bookmarkEnd w:id="0"/>
      <w:bookmarkStart w:id="194" w:name="_GoBack"/>
      <w:r>
        <w:rPr>
          <w:rFonts w:hint="eastAsia" w:ascii="仿宋" w:hAnsi="仿宋" w:eastAsia="仿宋" w:cs="仿宋"/>
          <w:b/>
          <w:bCs/>
          <w:color w:val="auto"/>
          <w:sz w:val="56"/>
          <w:szCs w:val="56"/>
          <w:highlight w:val="none"/>
        </w:rPr>
        <w:t>绍兴市公共交通集团有限公司202</w:t>
      </w:r>
      <w:r>
        <w:rPr>
          <w:rFonts w:hint="eastAsia" w:ascii="仿宋" w:hAnsi="仿宋" w:eastAsia="仿宋" w:cs="仿宋"/>
          <w:b/>
          <w:bCs/>
          <w:color w:val="auto"/>
          <w:sz w:val="56"/>
          <w:szCs w:val="56"/>
          <w:highlight w:val="none"/>
          <w:lang w:val="en-US" w:eastAsia="zh-CN"/>
        </w:rPr>
        <w:t>4</w:t>
      </w:r>
      <w:r>
        <w:rPr>
          <w:rFonts w:hint="eastAsia" w:ascii="仿宋" w:hAnsi="仿宋" w:eastAsia="仿宋" w:cs="仿宋"/>
          <w:b/>
          <w:bCs/>
          <w:color w:val="auto"/>
          <w:sz w:val="56"/>
          <w:szCs w:val="56"/>
          <w:highlight w:val="none"/>
        </w:rPr>
        <w:t>年公交客车采购项目</w:t>
      </w:r>
    </w:p>
    <w:p>
      <w:pPr>
        <w:shd w:val="clear"/>
        <w:jc w:val="center"/>
        <w:outlineLvl w:val="0"/>
        <w:rPr>
          <w:rFonts w:hint="eastAsia" w:ascii="仿宋" w:hAnsi="仿宋" w:eastAsia="仿宋" w:cs="仿宋"/>
          <w:b/>
          <w:color w:val="auto"/>
          <w:sz w:val="72"/>
          <w:szCs w:val="72"/>
          <w:highlight w:val="none"/>
        </w:rPr>
      </w:pPr>
    </w:p>
    <w:p>
      <w:pPr>
        <w:shd w:val="clea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shd w:val="clea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shd w:val="clea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shd w:val="clea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shd w:val="clea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shd w:val="clea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shd w:val="clea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hd w:val="clear"/>
        <w:spacing w:line="360" w:lineRule="auto"/>
        <w:rPr>
          <w:rFonts w:hint="eastAsia" w:ascii="仿宋" w:hAnsi="仿宋" w:eastAsia="仿宋" w:cs="仿宋"/>
          <w:b/>
          <w:color w:val="auto"/>
          <w:sz w:val="44"/>
          <w:szCs w:val="44"/>
          <w:highlight w:val="none"/>
        </w:rPr>
      </w:pPr>
    </w:p>
    <w:p>
      <w:pPr>
        <w:shd w:val="clea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招标编号:CGSHZJ-2024-N000994</w:t>
      </w:r>
    </w:p>
    <w:tbl>
      <w:tblPr>
        <w:tblStyle w:val="64"/>
        <w:tblW w:w="8128" w:type="dxa"/>
        <w:jc w:val="center"/>
        <w:tblLayout w:type="fixed"/>
        <w:tblCellMar>
          <w:top w:w="0" w:type="dxa"/>
          <w:left w:w="108" w:type="dxa"/>
          <w:bottom w:w="0" w:type="dxa"/>
          <w:right w:w="108" w:type="dxa"/>
        </w:tblCellMar>
      </w:tblPr>
      <w:tblGrid>
        <w:gridCol w:w="2683"/>
        <w:gridCol w:w="5445"/>
      </w:tblGrid>
      <w:tr>
        <w:tblPrEx>
          <w:tblCellMar>
            <w:top w:w="0" w:type="dxa"/>
            <w:left w:w="108" w:type="dxa"/>
            <w:bottom w:w="0" w:type="dxa"/>
            <w:right w:w="108" w:type="dxa"/>
          </w:tblCellMar>
        </w:tblPrEx>
        <w:trPr>
          <w:trHeight w:val="443" w:hRule="atLeast"/>
          <w:jc w:val="center"/>
        </w:trPr>
        <w:tc>
          <w:tcPr>
            <w:tcW w:w="2683" w:type="dxa"/>
            <w:vAlign w:val="center"/>
          </w:tcPr>
          <w:p>
            <w:pPr>
              <w:shd w:val="clear" w:color="auto"/>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lang w:bidi="ar-SA"/>
              </w:rPr>
              <w:t>采购单</w:t>
            </w:r>
            <w:r>
              <w:rPr>
                <w:rFonts w:hint="eastAsia" w:ascii="仿宋" w:hAnsi="仿宋" w:eastAsia="仿宋" w:cs="仿宋"/>
                <w:color w:val="auto"/>
                <w:spacing w:val="1"/>
                <w:kern w:val="0"/>
                <w:sz w:val="28"/>
                <w:szCs w:val="28"/>
                <w:highlight w:val="none"/>
                <w:lang w:bidi="ar-SA"/>
              </w:rPr>
              <w:t>位</w:t>
            </w:r>
            <w:r>
              <w:rPr>
                <w:rFonts w:hint="eastAsia" w:ascii="仿宋" w:hAnsi="仿宋" w:eastAsia="仿宋" w:cs="仿宋"/>
                <w:color w:val="auto"/>
                <w:sz w:val="28"/>
                <w:szCs w:val="28"/>
                <w:highlight w:val="none"/>
                <w:lang w:bidi="ar-SA"/>
              </w:rPr>
              <w:t>：</w:t>
            </w:r>
          </w:p>
        </w:tc>
        <w:tc>
          <w:tcPr>
            <w:tcW w:w="5445" w:type="dxa"/>
            <w:vAlign w:val="center"/>
          </w:tcPr>
          <w:p>
            <w:pPr>
              <w:shd w:val="clear" w:color="auto"/>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bidi="ar-SA"/>
              </w:rPr>
              <w:t>绍兴市公共交通集团有限公司</w:t>
            </w:r>
          </w:p>
        </w:tc>
      </w:tr>
      <w:tr>
        <w:tblPrEx>
          <w:tblCellMar>
            <w:top w:w="0" w:type="dxa"/>
            <w:left w:w="108" w:type="dxa"/>
            <w:bottom w:w="0" w:type="dxa"/>
            <w:right w:w="108" w:type="dxa"/>
          </w:tblCellMar>
        </w:tblPrEx>
        <w:trPr>
          <w:trHeight w:val="494" w:hRule="atLeast"/>
          <w:jc w:val="center"/>
        </w:trPr>
        <w:tc>
          <w:tcPr>
            <w:tcW w:w="2683" w:type="dxa"/>
            <w:vAlign w:val="center"/>
          </w:tcPr>
          <w:p>
            <w:pPr>
              <w:shd w:val="clear" w:color="auto"/>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lang w:bidi="ar-SA"/>
              </w:rPr>
              <w:t>采购代理机</w:t>
            </w:r>
            <w:r>
              <w:rPr>
                <w:rFonts w:hint="eastAsia" w:ascii="仿宋" w:hAnsi="仿宋" w:eastAsia="仿宋" w:cs="仿宋"/>
                <w:color w:val="auto"/>
                <w:w w:val="93"/>
                <w:kern w:val="0"/>
                <w:sz w:val="28"/>
                <w:szCs w:val="28"/>
                <w:highlight w:val="none"/>
                <w:lang w:bidi="ar-SA"/>
              </w:rPr>
              <w:t>构</w:t>
            </w:r>
            <w:r>
              <w:rPr>
                <w:rFonts w:hint="eastAsia" w:ascii="仿宋" w:hAnsi="仿宋" w:eastAsia="仿宋" w:cs="仿宋"/>
                <w:color w:val="auto"/>
                <w:sz w:val="28"/>
                <w:szCs w:val="28"/>
                <w:highlight w:val="none"/>
                <w:lang w:bidi="ar-SA"/>
              </w:rPr>
              <w:t>：</w:t>
            </w:r>
          </w:p>
        </w:tc>
        <w:tc>
          <w:tcPr>
            <w:tcW w:w="5445" w:type="dxa"/>
            <w:vAlign w:val="center"/>
          </w:tcPr>
          <w:p>
            <w:pPr>
              <w:shd w:val="clear" w:color="auto"/>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bidi="ar-SA"/>
              </w:rPr>
              <w:t>浙江天源工程管理咨询有限公司</w:t>
            </w:r>
          </w:p>
        </w:tc>
      </w:tr>
      <w:tr>
        <w:tblPrEx>
          <w:tblCellMar>
            <w:top w:w="0" w:type="dxa"/>
            <w:left w:w="108" w:type="dxa"/>
            <w:bottom w:w="0" w:type="dxa"/>
            <w:right w:w="108" w:type="dxa"/>
          </w:tblCellMar>
        </w:tblPrEx>
        <w:trPr>
          <w:trHeight w:val="397" w:hRule="atLeast"/>
          <w:jc w:val="center"/>
        </w:trPr>
        <w:tc>
          <w:tcPr>
            <w:tcW w:w="2683" w:type="dxa"/>
            <w:vAlign w:val="center"/>
          </w:tcPr>
          <w:p>
            <w:pPr>
              <w:shd w:val="clear" w:color="auto"/>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lang w:bidi="ar-SA"/>
              </w:rPr>
              <w:t>监督单</w:t>
            </w:r>
            <w:r>
              <w:rPr>
                <w:rFonts w:hint="eastAsia" w:ascii="仿宋" w:hAnsi="仿宋" w:eastAsia="仿宋" w:cs="仿宋"/>
                <w:color w:val="auto"/>
                <w:spacing w:val="1"/>
                <w:kern w:val="0"/>
                <w:sz w:val="28"/>
                <w:szCs w:val="28"/>
                <w:highlight w:val="none"/>
                <w:lang w:bidi="ar-SA"/>
              </w:rPr>
              <w:t>位</w:t>
            </w:r>
            <w:r>
              <w:rPr>
                <w:rFonts w:hint="eastAsia" w:ascii="仿宋" w:hAnsi="仿宋" w:eastAsia="仿宋" w:cs="仿宋"/>
                <w:color w:val="auto"/>
                <w:sz w:val="28"/>
                <w:szCs w:val="28"/>
                <w:highlight w:val="none"/>
                <w:lang w:bidi="ar-SA"/>
              </w:rPr>
              <w:t>：</w:t>
            </w:r>
          </w:p>
        </w:tc>
        <w:tc>
          <w:tcPr>
            <w:tcW w:w="5445" w:type="dxa"/>
            <w:vAlign w:val="center"/>
          </w:tcPr>
          <w:p>
            <w:pPr>
              <w:shd w:val="clear" w:color="auto"/>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bidi="ar-SA"/>
              </w:rPr>
              <w:t>绍兴市交通投资集团有限公司</w:t>
            </w:r>
          </w:p>
        </w:tc>
      </w:tr>
      <w:tr>
        <w:tblPrEx>
          <w:tblCellMar>
            <w:top w:w="0" w:type="dxa"/>
            <w:left w:w="108" w:type="dxa"/>
            <w:bottom w:w="0" w:type="dxa"/>
            <w:right w:w="108" w:type="dxa"/>
          </w:tblCellMar>
        </w:tblPrEx>
        <w:trPr>
          <w:trHeight w:val="333" w:hRule="atLeast"/>
          <w:jc w:val="center"/>
        </w:trPr>
        <w:tc>
          <w:tcPr>
            <w:tcW w:w="8128" w:type="dxa"/>
            <w:gridSpan w:val="2"/>
          </w:tcPr>
          <w:p>
            <w:pPr>
              <w:shd w:val="clea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pPr>
        <w:pStyle w:val="635"/>
        <w:shd w:val="clear"/>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pgNumType w:start="1"/>
          <w:cols w:space="720" w:num="1"/>
          <w:titlePg/>
          <w:docGrid w:linePitch="312" w:charSpace="0"/>
        </w:sectPr>
      </w:pPr>
    </w:p>
    <w:p>
      <w:pPr>
        <w:shd w:val="clear"/>
        <w:spacing w:line="360" w:lineRule="auto"/>
        <w:jc w:val="center"/>
        <w:rPr>
          <w:rFonts w:hint="eastAsia" w:ascii="仿宋" w:hAnsi="仿宋" w:eastAsia="仿宋" w:cs="仿宋"/>
          <w:color w:val="auto"/>
          <w:sz w:val="24"/>
          <w:highlight w:val="none"/>
        </w:rPr>
      </w:pPr>
    </w:p>
    <w:p>
      <w:pPr>
        <w:shd w:val="clea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hd w:val="clear"/>
        <w:spacing w:line="360" w:lineRule="auto"/>
        <w:jc w:val="center"/>
        <w:rPr>
          <w:rFonts w:hint="eastAsia" w:ascii="仿宋" w:hAnsi="仿宋" w:eastAsia="仿宋" w:cs="仿宋"/>
          <w:b/>
          <w:color w:val="auto"/>
          <w:sz w:val="44"/>
          <w:szCs w:val="44"/>
          <w:highlight w:val="none"/>
        </w:rPr>
      </w:pPr>
    </w:p>
    <w:p>
      <w:pPr>
        <w:shd w:val="clear"/>
        <w:spacing w:line="360" w:lineRule="auto"/>
        <w:jc w:val="center"/>
        <w:rPr>
          <w:rFonts w:hint="eastAsia" w:ascii="仿宋" w:hAnsi="仿宋" w:eastAsia="仿宋" w:cs="仿宋"/>
          <w:color w:val="auto"/>
          <w:highlight w:val="none"/>
        </w:rPr>
      </w:pPr>
    </w:p>
    <w:p>
      <w:pPr>
        <w:shd w:val="clea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hd w:val="clea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hd w:val="clea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hd w:val="clea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第四部分合同的主要条款</w:t>
      </w:r>
    </w:p>
    <w:p>
      <w:pPr>
        <w:shd w:val="clea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hd w:val="clea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ind w:firstLine="549" w:firstLineChars="229"/>
        <w:rPr>
          <w:rFonts w:hint="eastAsia" w:ascii="仿宋" w:hAnsi="仿宋" w:eastAsia="仿宋" w:cs="仿宋"/>
          <w:color w:val="auto"/>
          <w:sz w:val="24"/>
          <w:highlight w:val="none"/>
        </w:rPr>
      </w:pPr>
    </w:p>
    <w:p>
      <w:pPr>
        <w:shd w:val="clear"/>
        <w:spacing w:line="360" w:lineRule="auto"/>
        <w:rPr>
          <w:rFonts w:hint="eastAsia" w:ascii="仿宋" w:hAnsi="仿宋" w:eastAsia="仿宋" w:cs="仿宋"/>
          <w:color w:val="auto"/>
          <w:sz w:val="24"/>
          <w:highlight w:val="none"/>
        </w:rPr>
      </w:pPr>
    </w:p>
    <w:bookmarkEnd w:id="2"/>
    <w:p>
      <w:pPr>
        <w:shd w:val="clear"/>
        <w:adjustRightInd/>
        <w:spacing w:line="360" w:lineRule="auto"/>
        <w:jc w:val="center"/>
        <w:outlineLvl w:val="0"/>
        <w:rPr>
          <w:rFonts w:hint="eastAsia" w:ascii="仿宋" w:hAnsi="仿宋" w:eastAsia="仿宋" w:cs="仿宋"/>
          <w:b/>
          <w:color w:val="auto"/>
          <w:sz w:val="36"/>
          <w:szCs w:val="20"/>
          <w:highlight w:val="none"/>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_Toc91899870"/>
      <w:bookmarkStart w:id="8" w:name="第二部分"/>
      <w:bookmarkStart w:id="9" w:name="_Toc91899871"/>
    </w:p>
    <w:p>
      <w:pPr>
        <w:shd w:val="clea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第一部分招标公告</w:t>
      </w:r>
    </w:p>
    <w:p>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bCs/>
          <w:color w:val="auto"/>
          <w:sz w:val="24"/>
          <w:highlight w:val="none"/>
          <w:u w:val="single"/>
        </w:rPr>
        <w:t>绍兴市公共交通集团有限公司2024年公交客车采购项目</w:t>
      </w:r>
      <w:r>
        <w:rPr>
          <w:rFonts w:hint="eastAsia" w:ascii="仿宋" w:hAnsi="仿宋" w:eastAsia="仿宋" w:cs="仿宋"/>
          <w:color w:val="auto"/>
          <w:sz w:val="24"/>
          <w:highlight w:val="none"/>
        </w:rPr>
        <w:t>招标项目的潜在投标人应在乐采云平台（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https://www.lecaiyun.com/）获取（下载）招标文件，并于202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年月日点分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项目编号：CGSHZJ-2024-N000994</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项目名称：绍兴市公共交通集团有限公司2024年公交客车采购项目</w:t>
      </w:r>
    </w:p>
    <w:p>
      <w:pPr>
        <w:shd w:val="clea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126,940,000.00</w:t>
      </w:r>
    </w:p>
    <w:p>
      <w:pPr>
        <w:shd w:val="clear"/>
        <w:spacing w:line="440" w:lineRule="exact"/>
        <w:ind w:firstLine="482" w:firstLineChars="200"/>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126,940,000.00</w:t>
      </w:r>
    </w:p>
    <w:p>
      <w:pPr>
        <w:shd w:val="clea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标项名称：8米级纯电空调公交客车</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70辆</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56,000,000.00元</w:t>
      </w:r>
    </w:p>
    <w:p>
      <w:pPr>
        <w:shd w:val="clea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pPr>
        <w:shd w:val="clear"/>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标项名称：7米级纯电空调公交客车</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77辆</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53,900,000.00元</w:t>
      </w:r>
    </w:p>
    <w:p>
      <w:pPr>
        <w:shd w:val="clea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pPr>
        <w:shd w:val="clear"/>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三</w:t>
      </w:r>
      <w:r>
        <w:rPr>
          <w:rFonts w:hint="eastAsia" w:ascii="仿宋" w:hAnsi="仿宋" w:eastAsia="仿宋" w:cs="仿宋"/>
          <w:bCs/>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标项名称：6米级纯电空调公交客车</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8辆</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4,720,000.00元</w:t>
      </w:r>
    </w:p>
    <w:p>
      <w:pPr>
        <w:shd w:val="clea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pPr>
        <w:shd w:val="clear"/>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四</w:t>
      </w:r>
      <w:r>
        <w:rPr>
          <w:rFonts w:hint="eastAsia" w:ascii="仿宋" w:hAnsi="仿宋" w:eastAsia="仿宋" w:cs="仿宋"/>
          <w:bCs/>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标项名称：5.99米（微公交）纯电空调公交客车</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18</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8,748,000.00元</w:t>
      </w:r>
    </w:p>
    <w:p>
      <w:pPr>
        <w:shd w:val="clea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pPr>
        <w:shd w:val="clear"/>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五</w:t>
      </w:r>
      <w:r>
        <w:rPr>
          <w:rFonts w:hint="eastAsia" w:ascii="仿宋" w:hAnsi="仿宋" w:eastAsia="仿宋" w:cs="仿宋"/>
          <w:bCs/>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标项名称：8米级纯电无站立公交客车</w:t>
      </w:r>
    </w:p>
    <w:p>
      <w:pPr>
        <w:shd w:val="clear"/>
        <w:spacing w:line="440"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2</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1,592,000.00元</w:t>
      </w:r>
    </w:p>
    <w:p>
      <w:pPr>
        <w:shd w:val="clea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pPr>
        <w:shd w:val="clear"/>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六</w:t>
      </w:r>
      <w:r>
        <w:rPr>
          <w:rFonts w:hint="eastAsia" w:ascii="仿宋" w:hAnsi="仿宋" w:eastAsia="仿宋" w:cs="仿宋"/>
          <w:bCs/>
          <w:color w:val="auto"/>
          <w:sz w:val="24"/>
          <w:highlight w:val="none"/>
        </w:rPr>
        <w:t>：</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标项名称：6米级纯电无站立公交客车</w:t>
      </w:r>
    </w:p>
    <w:p>
      <w:pPr>
        <w:shd w:val="clear"/>
        <w:spacing w:line="440"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3</w:t>
      </w:r>
    </w:p>
    <w:p>
      <w:pPr>
        <w:shd w:val="clea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1,980,000.00元</w:t>
      </w:r>
    </w:p>
    <w:p>
      <w:pPr>
        <w:shd w:val="clea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详见招标文件。</w:t>
      </w:r>
    </w:p>
    <w:p>
      <w:pPr>
        <w:shd w:val="clea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pPr>
        <w:shd w:val="clea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highlight w:val="none"/>
          <w:lang w:bidi="ar-SA"/>
        </w:rPr>
        <w:sym w:font="Wingdings" w:char="F0FE"/>
      </w:r>
      <w:r>
        <w:rPr>
          <w:rFonts w:hint="eastAsia" w:ascii="仿宋" w:hAnsi="仿宋" w:eastAsia="仿宋" w:cs="仿宋"/>
          <w:b/>
          <w:color w:val="auto"/>
          <w:sz w:val="24"/>
          <w:highlight w:val="none"/>
        </w:rPr>
        <w:t>是，☐否。</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hd w:val="clea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hd w:val="clea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hd w:val="clea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pPr>
        <w:shd w:val="clea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lang w:bidi="ar-SA"/>
        </w:rPr>
        <w:sym w:font="Wingdings" w:char="F0FE"/>
      </w:r>
      <w:r>
        <w:rPr>
          <w:rFonts w:hint="eastAsia" w:ascii="仿宋" w:hAnsi="仿宋" w:eastAsia="仿宋" w:cs="仿宋"/>
          <w:color w:val="auto"/>
          <w:sz w:val="24"/>
          <w:highlight w:val="none"/>
        </w:rPr>
        <w:t>无；</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hd w:val="clear"/>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hd w:val="clea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年 月 日 点 分00秒</w:t>
      </w:r>
      <w:r>
        <w:rPr>
          <w:rFonts w:hint="eastAsia" w:ascii="仿宋" w:hAnsi="仿宋" w:eastAsia="仿宋" w:cs="仿宋"/>
          <w:color w:val="auto"/>
          <w:sz w:val="24"/>
          <w:highlight w:val="none"/>
        </w:rPr>
        <w:t>（北京时间）</w:t>
      </w:r>
    </w:p>
    <w:p>
      <w:pPr>
        <w:shd w:val="clea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pPr>
        <w:shd w:val="clea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年月日点分00秒</w:t>
      </w:r>
    </w:p>
    <w:p>
      <w:pPr>
        <w:shd w:val="clea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五、公告期限</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sz w:val="24"/>
          <w:highlight w:val="none"/>
        </w:rPr>
        <w:t>，视为投标文件撤回；⑩具体操作指南：详见乐采云平台“服务中心-帮助</w:t>
      </w:r>
      <w:r>
        <w:rPr>
          <w:rFonts w:hint="eastAsia" w:ascii="仿宋" w:hAnsi="仿宋" w:eastAsia="仿宋" w:cs="仿宋"/>
          <w:color w:val="auto"/>
          <w:sz w:val="24"/>
          <w:highlight w:val="none"/>
        </w:rPr>
        <w:t>文档-项目采购-操作流程-电子招投标-政府采购项目电子交易管理操作指南-供应商”。（3）招标文件公告期限与招标公告的公告期限一致。</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1.采购人信息</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名称：绍兴市公共交通集团有限公司</w:t>
      </w:r>
    </w:p>
    <w:p>
      <w:pPr>
        <w:pStyle w:val="395"/>
        <w:shd w:val="clear" w:color="auto"/>
        <w:spacing w:after="50" w:afterLines="0" w:line="420" w:lineRule="exact"/>
        <w:rPr>
          <w:rFonts w:hint="default" w:ascii="仿宋" w:hAnsi="仿宋" w:eastAsia="仿宋" w:cs="仿宋"/>
          <w:color w:val="auto"/>
          <w:szCs w:val="24"/>
          <w:highlight w:val="none"/>
          <w:lang w:val="en-US" w:eastAsia="zh-CN" w:bidi="ar-SA"/>
        </w:rPr>
      </w:pPr>
      <w:r>
        <w:rPr>
          <w:rFonts w:hint="eastAsia" w:ascii="仿宋" w:hAnsi="仿宋" w:eastAsia="仿宋" w:cs="仿宋"/>
          <w:color w:val="auto"/>
          <w:szCs w:val="24"/>
          <w:highlight w:val="none"/>
          <w:lang w:bidi="ar-SA"/>
        </w:rPr>
        <w:t>地址：浙江省绍兴市越城区</w:t>
      </w:r>
      <w:r>
        <w:rPr>
          <w:rFonts w:hint="eastAsia" w:ascii="仿宋" w:hAnsi="仿宋" w:eastAsia="仿宋" w:cs="仿宋"/>
          <w:color w:val="auto"/>
          <w:szCs w:val="24"/>
          <w:highlight w:val="none"/>
          <w:lang w:val="en-US" w:eastAsia="zh-CN" w:bidi="ar-SA"/>
        </w:rPr>
        <w:t>润沁路19号</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传真：/</w:t>
      </w:r>
    </w:p>
    <w:p>
      <w:pPr>
        <w:pStyle w:val="395"/>
        <w:shd w:val="clear" w:color="auto"/>
        <w:spacing w:after="50" w:afterLines="0" w:line="420" w:lineRule="exact"/>
        <w:jc w:val="left"/>
        <w:rPr>
          <w:rFonts w:hint="eastAsia" w:ascii="仿宋" w:hAnsi="仿宋" w:eastAsia="仿宋" w:cs="仿宋"/>
          <w:color w:val="auto"/>
          <w:szCs w:val="24"/>
          <w:highlight w:val="none"/>
          <w:lang w:eastAsia="zh-CN" w:bidi="ar-SA"/>
        </w:rPr>
      </w:pPr>
      <w:r>
        <w:rPr>
          <w:rFonts w:hint="eastAsia" w:ascii="仿宋" w:hAnsi="仿宋" w:eastAsia="仿宋" w:cs="仿宋"/>
          <w:color w:val="auto"/>
          <w:szCs w:val="24"/>
          <w:highlight w:val="none"/>
          <w:lang w:bidi="ar-SA"/>
        </w:rPr>
        <w:t>项目联系人（询问）：</w:t>
      </w:r>
      <w:r>
        <w:rPr>
          <w:rFonts w:hint="eastAsia" w:ascii="仿宋" w:hAnsi="仿宋" w:eastAsia="仿宋" w:cs="仿宋"/>
          <w:color w:val="auto"/>
          <w:szCs w:val="24"/>
          <w:highlight w:val="none"/>
          <w:lang w:eastAsia="zh-CN" w:bidi="ar-SA"/>
        </w:rPr>
        <w:t>许吉明</w:t>
      </w:r>
    </w:p>
    <w:p>
      <w:pPr>
        <w:pStyle w:val="395"/>
        <w:shd w:val="clear" w:color="auto"/>
        <w:spacing w:after="50" w:afterLines="0" w:line="420" w:lineRule="exact"/>
        <w:jc w:val="lef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项目联系方式（询问）：0575-88318786</w:t>
      </w:r>
    </w:p>
    <w:p>
      <w:pPr>
        <w:pStyle w:val="395"/>
        <w:shd w:val="clear" w:color="auto"/>
        <w:spacing w:after="50" w:afterLines="0" w:line="420" w:lineRule="exact"/>
        <w:jc w:val="lef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质疑联系人：王政</w:t>
      </w:r>
    </w:p>
    <w:p>
      <w:pPr>
        <w:pStyle w:val="395"/>
        <w:shd w:val="clear" w:color="auto"/>
        <w:spacing w:after="50" w:afterLines="0" w:line="420" w:lineRule="exact"/>
        <w:jc w:val="left"/>
        <w:rPr>
          <w:rFonts w:hint="eastAsia" w:ascii="仿宋" w:hAnsi="仿宋" w:eastAsia="仿宋" w:cs="仿宋"/>
          <w:color w:val="auto"/>
          <w:sz w:val="24"/>
          <w:highlight w:val="none"/>
        </w:rPr>
      </w:pPr>
      <w:r>
        <w:rPr>
          <w:rFonts w:hint="eastAsia" w:ascii="仿宋" w:hAnsi="仿宋" w:eastAsia="仿宋" w:cs="仿宋"/>
          <w:color w:val="auto"/>
          <w:szCs w:val="24"/>
          <w:highlight w:val="none"/>
          <w:lang w:bidi="ar-SA"/>
        </w:rPr>
        <w:t>质疑联系方式：15657582259</w:t>
      </w:r>
    </w:p>
    <w:p>
      <w:pPr>
        <w:pStyle w:val="5"/>
        <w:shd w:val="clear"/>
        <w:spacing w:line="440" w:lineRule="exact"/>
        <w:ind w:left="0" w:firstLine="482" w:firstLineChars="200"/>
        <w:rPr>
          <w:rFonts w:hint="eastAsia" w:ascii="仿宋" w:hAnsi="仿宋" w:eastAsia="仿宋" w:cs="仿宋"/>
          <w:color w:val="auto"/>
          <w:sz w:val="24"/>
          <w:highlight w:val="none"/>
        </w:rPr>
      </w:pPr>
      <w:bookmarkStart w:id="11" w:name="_Toc35393638"/>
      <w:bookmarkStart w:id="12" w:name="_Toc28359020"/>
      <w:bookmarkStart w:id="13" w:name="_Toc35393807"/>
      <w:bookmarkStart w:id="14" w:name="_Toc28359097"/>
      <w:r>
        <w:rPr>
          <w:rFonts w:hint="eastAsia" w:ascii="仿宋" w:hAnsi="仿宋" w:eastAsia="仿宋" w:cs="仿宋"/>
          <w:color w:val="auto"/>
          <w:sz w:val="24"/>
          <w:szCs w:val="24"/>
          <w:highlight w:val="none"/>
        </w:rPr>
        <w:t>2.采购代理机构信息</w:t>
      </w:r>
      <w:bookmarkEnd w:id="11"/>
      <w:bookmarkEnd w:id="12"/>
      <w:bookmarkEnd w:id="13"/>
      <w:bookmarkEnd w:id="14"/>
      <w:r>
        <w:rPr>
          <w:rFonts w:hint="eastAsia" w:ascii="仿宋" w:hAnsi="仿宋" w:eastAsia="仿宋" w:cs="仿宋"/>
          <w:color w:val="auto"/>
          <w:sz w:val="24"/>
          <w:szCs w:val="24"/>
          <w:highlight w:val="none"/>
        </w:rPr>
        <w:t>：</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名称：浙江天源工程管理咨询有限公司</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地址：绍兴市越城区胜利东路405号国茂大厦7楼712室</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 xml:space="preserve">传真：/ </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项目联系人（询问）：龚征亚</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项目联系方式（询问）：0575-85111480</w:t>
      </w:r>
    </w:p>
    <w:p>
      <w:pPr>
        <w:pStyle w:val="395"/>
        <w:shd w:val="clear" w:color="auto"/>
        <w:spacing w:after="50" w:afterLines="0" w:line="420" w:lineRule="exact"/>
        <w:rPr>
          <w:rFonts w:hint="eastAsia" w:ascii="仿宋" w:hAnsi="仿宋" w:eastAsia="仿宋" w:cs="仿宋"/>
          <w:color w:val="auto"/>
          <w:szCs w:val="24"/>
          <w:highlight w:val="none"/>
          <w:lang w:bidi="ar-SA"/>
        </w:rPr>
      </w:pPr>
      <w:r>
        <w:rPr>
          <w:rFonts w:hint="eastAsia" w:ascii="仿宋" w:hAnsi="仿宋" w:eastAsia="仿宋" w:cs="仿宋"/>
          <w:color w:val="auto"/>
          <w:szCs w:val="24"/>
          <w:highlight w:val="none"/>
          <w:lang w:bidi="ar-SA"/>
        </w:rPr>
        <w:t>质疑联系人：俞晓萍</w:t>
      </w:r>
    </w:p>
    <w:p>
      <w:pPr>
        <w:pStyle w:val="395"/>
        <w:shd w:val="clear" w:color="auto"/>
        <w:spacing w:after="50" w:afterLines="0" w:line="420" w:lineRule="exact"/>
        <w:rPr>
          <w:rFonts w:hint="eastAsia" w:ascii="仿宋" w:hAnsi="仿宋" w:eastAsia="仿宋" w:cs="仿宋"/>
          <w:color w:val="auto"/>
          <w:sz w:val="24"/>
          <w:highlight w:val="none"/>
        </w:rPr>
      </w:pPr>
      <w:r>
        <w:rPr>
          <w:rFonts w:hint="eastAsia" w:ascii="仿宋" w:hAnsi="仿宋" w:eastAsia="仿宋" w:cs="仿宋"/>
          <w:color w:val="auto"/>
          <w:szCs w:val="24"/>
          <w:highlight w:val="none"/>
          <w:lang w:bidi="ar-SA"/>
        </w:rPr>
        <w:t>质疑联系方式：0575-85127153</w:t>
      </w:r>
    </w:p>
    <w:p>
      <w:pPr>
        <w:shd w:val="clear"/>
        <w:spacing w:line="440" w:lineRule="exact"/>
        <w:ind w:firstLine="482" w:firstLineChars="200"/>
        <w:rPr>
          <w:rFonts w:hint="eastAsia" w:ascii="仿宋" w:hAnsi="仿宋" w:eastAsia="仿宋" w:cs="仿宋"/>
          <w:b/>
          <w:color w:val="auto"/>
          <w:sz w:val="24"/>
          <w:highlight w:val="none"/>
        </w:rPr>
      </w:pPr>
      <w:bookmarkStart w:id="15" w:name="_Toc28359021"/>
      <w:bookmarkStart w:id="16" w:name="_Toc35393639"/>
      <w:bookmarkStart w:id="17" w:name="_Toc28359098"/>
      <w:bookmarkStart w:id="18"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采购监督管理部门信息： </w:t>
      </w:r>
    </w:p>
    <w:bookmarkEnd w:id="15"/>
    <w:bookmarkEnd w:id="16"/>
    <w:bookmarkEnd w:id="17"/>
    <w:bookmarkEnd w:id="18"/>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名称：绍兴市交通投资集团有限公司</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地址：绍兴市凤林西路 135 号交投大厦</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联系人：郑林飞</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监督投诉电话：0575-88376900</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shd w:val="clear"/>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shd w:val="clea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pPr>
        <w:shd w:val="clea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hd w:val="clear"/>
              <w:autoSpaceDE w:val="0"/>
              <w:autoSpaceDN w:val="0"/>
              <w:snapToGrid w:val="0"/>
              <w:spacing w:line="440" w:lineRule="exact"/>
              <w:textAlignment w:val="center"/>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hd w:val="clear"/>
              <w:autoSpaceDE w:val="0"/>
              <w:autoSpaceDN w:val="0"/>
              <w:spacing w:line="440" w:lineRule="exact"/>
              <w:ind w:firstLine="480" w:firstLineChars="200"/>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hd w:val="clear"/>
              <w:autoSpaceDE w:val="0"/>
              <w:autoSpaceDN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hd w:val="clear"/>
              <w:autoSpaceDE w:val="0"/>
              <w:autoSpaceDN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hd w:val="clear"/>
              <w:autoSpaceDE w:val="0"/>
              <w:autoSpaceDN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hd w:val="clear"/>
              <w:autoSpaceDE w:val="0"/>
              <w:autoSpaceDN w:val="0"/>
              <w:spacing w:line="440" w:lineRule="exact"/>
              <w:ind w:firstLine="720" w:firstLineChars="300"/>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shd w:val="clea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hd w:val="clear"/>
              <w:autoSpaceDE w:val="0"/>
              <w:autoSpaceDN w:val="0"/>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hd w:val="clear"/>
              <w:autoSpaceDE w:val="0"/>
              <w:autoSpaceDN w:val="0"/>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hd w:val="clear"/>
              <w:autoSpaceDE w:val="0"/>
              <w:autoSpaceDN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hd w:val="clea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shd w:val="clea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pPr>
              <w:shd w:val="clear"/>
              <w:autoSpaceDE w:val="0"/>
              <w:autoSpaceDN w:val="0"/>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shd w:val="clear"/>
              <w:autoSpaceDE w:val="0"/>
              <w:autoSpaceDN w:val="0"/>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hd w:val="clear"/>
              <w:autoSpaceDE w:val="0"/>
              <w:autoSpaceDN w:val="0"/>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pPr>
              <w:shd w:val="clear"/>
              <w:autoSpaceDE w:val="0"/>
              <w:autoSpaceDN w:val="0"/>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（编制时可根据项目情况进行调整）</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hd w:val="clear"/>
              <w:autoSpaceDE w:val="0"/>
              <w:autoSpaceDN w:val="0"/>
              <w:snapToGrid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hd w:val="clear"/>
              <w:autoSpaceDE w:val="0"/>
              <w:autoSpaceDN w:val="0"/>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shd w:val="clear"/>
              <w:autoSpaceDE w:val="0"/>
              <w:autoSpaceDN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hd w:val="clear"/>
              <w:autoSpaceDE w:val="0"/>
              <w:autoSpaceDN w:val="0"/>
              <w:snapToGrid w:val="0"/>
              <w:spacing w:line="440" w:lineRule="exact"/>
              <w:ind w:left="14" w:hanging="14" w:hangingChars="7"/>
              <w:jc w:val="left"/>
              <w:textAlignment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eastAsia="zh-CN"/>
              </w:rPr>
              <w:t>标项一：</w:t>
            </w:r>
            <w:r>
              <w:rPr>
                <w:rFonts w:hint="eastAsia" w:ascii="仿宋" w:hAnsi="仿宋" w:eastAsia="仿宋" w:cs="仿宋"/>
                <w:color w:val="auto"/>
                <w:kern w:val="0"/>
                <w:sz w:val="24"/>
                <w:highlight w:val="none"/>
                <w:u w:val="single"/>
              </w:rPr>
              <w:t>8米级纯电空调公交客车</w:t>
            </w:r>
            <w:r>
              <w:rPr>
                <w:rFonts w:hint="eastAsia" w:ascii="仿宋" w:hAnsi="仿宋" w:eastAsia="仿宋" w:cs="仿宋"/>
                <w:color w:val="auto"/>
                <w:kern w:val="0"/>
                <w:sz w:val="24"/>
                <w:highlight w:val="none"/>
                <w:u w:val="single"/>
                <w:lang w:eastAsia="zh-CN"/>
              </w:rPr>
              <w:t>；标项二：</w:t>
            </w:r>
            <w:r>
              <w:rPr>
                <w:rFonts w:hint="eastAsia" w:ascii="仿宋" w:hAnsi="仿宋" w:eastAsia="仿宋" w:cs="仿宋"/>
                <w:color w:val="auto"/>
                <w:kern w:val="0"/>
                <w:sz w:val="24"/>
                <w:highlight w:val="none"/>
                <w:u w:val="single"/>
              </w:rPr>
              <w:t>7米级纯电空调公交客车</w:t>
            </w:r>
            <w:r>
              <w:rPr>
                <w:rFonts w:hint="eastAsia" w:ascii="仿宋" w:hAnsi="仿宋" w:eastAsia="仿宋" w:cs="仿宋"/>
                <w:color w:val="auto"/>
                <w:kern w:val="0"/>
                <w:sz w:val="24"/>
                <w:highlight w:val="none"/>
                <w:u w:val="single"/>
                <w:lang w:eastAsia="zh-CN"/>
              </w:rPr>
              <w:t>；标项三：</w:t>
            </w:r>
            <w:r>
              <w:rPr>
                <w:rFonts w:hint="eastAsia" w:ascii="仿宋" w:hAnsi="仿宋" w:eastAsia="仿宋" w:cs="仿宋"/>
                <w:color w:val="auto"/>
                <w:kern w:val="0"/>
                <w:sz w:val="24"/>
                <w:highlight w:val="none"/>
                <w:u w:val="single"/>
              </w:rPr>
              <w:t>6米级纯电空调公交客车</w:t>
            </w:r>
            <w:r>
              <w:rPr>
                <w:rFonts w:hint="eastAsia" w:ascii="仿宋" w:hAnsi="仿宋" w:eastAsia="仿宋" w:cs="仿宋"/>
                <w:color w:val="auto"/>
                <w:kern w:val="0"/>
                <w:sz w:val="24"/>
                <w:highlight w:val="none"/>
                <w:u w:val="single"/>
                <w:lang w:eastAsia="zh-CN"/>
              </w:rPr>
              <w:t>；标项四：</w:t>
            </w:r>
            <w:r>
              <w:rPr>
                <w:rFonts w:hint="eastAsia" w:ascii="仿宋" w:hAnsi="仿宋" w:eastAsia="仿宋" w:cs="仿宋"/>
                <w:color w:val="auto"/>
                <w:kern w:val="0"/>
                <w:sz w:val="24"/>
                <w:highlight w:val="none"/>
                <w:u w:val="single"/>
              </w:rPr>
              <w:t>5.99米（微公交）纯电空调公交客车</w:t>
            </w:r>
            <w:r>
              <w:rPr>
                <w:rFonts w:hint="eastAsia" w:ascii="仿宋" w:hAnsi="仿宋" w:eastAsia="仿宋" w:cs="仿宋"/>
                <w:color w:val="auto"/>
                <w:kern w:val="0"/>
                <w:sz w:val="24"/>
                <w:highlight w:val="none"/>
                <w:u w:val="single"/>
                <w:lang w:eastAsia="zh-CN"/>
              </w:rPr>
              <w:t>；标项五：</w:t>
            </w:r>
            <w:r>
              <w:rPr>
                <w:rFonts w:hint="eastAsia" w:ascii="仿宋" w:hAnsi="仿宋" w:eastAsia="仿宋" w:cs="仿宋"/>
                <w:color w:val="auto"/>
                <w:kern w:val="0"/>
                <w:sz w:val="24"/>
                <w:highlight w:val="none"/>
                <w:u w:val="single"/>
              </w:rPr>
              <w:t>8米级纯电无站立公交客车</w:t>
            </w:r>
            <w:r>
              <w:rPr>
                <w:rFonts w:hint="eastAsia" w:ascii="仿宋" w:hAnsi="仿宋" w:eastAsia="仿宋" w:cs="仿宋"/>
                <w:color w:val="auto"/>
                <w:kern w:val="0"/>
                <w:sz w:val="24"/>
                <w:highlight w:val="none"/>
                <w:u w:val="single"/>
                <w:lang w:eastAsia="zh-CN"/>
              </w:rPr>
              <w:t>；标项六：</w:t>
            </w:r>
            <w:r>
              <w:rPr>
                <w:rFonts w:hint="eastAsia" w:ascii="仿宋" w:hAnsi="仿宋" w:eastAsia="仿宋" w:cs="仿宋"/>
                <w:color w:val="auto"/>
                <w:kern w:val="0"/>
                <w:sz w:val="24"/>
                <w:highlight w:val="none"/>
                <w:u w:val="single"/>
              </w:rPr>
              <w:t>6米级纯电无站立公交客车</w:t>
            </w:r>
            <w:r>
              <w:rPr>
                <w:rFonts w:hint="eastAsia" w:ascii="仿宋" w:hAnsi="仿宋" w:eastAsia="仿宋" w:cs="仿宋"/>
                <w:color w:val="auto"/>
                <w:sz w:val="24"/>
                <w:highlight w:val="none"/>
              </w:rPr>
              <w:t>。</w:t>
            </w:r>
          </w:p>
          <w:p>
            <w:pPr>
              <w:shd w:val="clear"/>
              <w:autoSpaceDE w:val="0"/>
              <w:autoSpaceDN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hd w:val="clear"/>
              <w:autoSpaceDE w:val="0"/>
              <w:autoSpaceDN w:val="0"/>
              <w:snapToGrid w:val="0"/>
              <w:spacing w:line="440" w:lineRule="exact"/>
              <w:ind w:hanging="1"/>
              <w:jc w:val="left"/>
              <w:textAlignment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标的</w:t>
            </w:r>
            <w:r>
              <w:rPr>
                <w:rFonts w:hint="eastAsia" w:ascii="仿宋" w:hAnsi="仿宋" w:eastAsia="仿宋" w:cs="仿宋"/>
                <w:color w:val="auto"/>
                <w:kern w:val="0"/>
                <w:sz w:val="24"/>
                <w:highlight w:val="none"/>
                <w:u w:val="single"/>
                <w:lang w:eastAsia="zh-CN"/>
              </w:rPr>
              <w:t>一至六：</w:t>
            </w:r>
            <w:r>
              <w:rPr>
                <w:rFonts w:hint="eastAsia" w:ascii="仿宋" w:hAnsi="仿宋" w:eastAsia="仿宋" w:cs="仿宋"/>
                <w:color w:val="auto"/>
                <w:kern w:val="0"/>
                <w:sz w:val="24"/>
                <w:highlight w:val="none"/>
                <w:u w:val="single"/>
              </w:rPr>
              <w:t>属于</w:t>
            </w:r>
            <w:r>
              <w:rPr>
                <w:rFonts w:hint="eastAsia" w:ascii="仿宋" w:hAnsi="仿宋" w:eastAsia="仿宋" w:cs="仿宋"/>
                <w:color w:val="auto"/>
                <w:kern w:val="0"/>
                <w:sz w:val="24"/>
                <w:highlight w:val="none"/>
                <w:u w:val="single"/>
                <w:lang w:eastAsia="zh-CN"/>
              </w:rPr>
              <w:t>工业</w:t>
            </w:r>
            <w:r>
              <w:rPr>
                <w:rFonts w:hint="eastAsia" w:ascii="仿宋" w:hAnsi="仿宋" w:eastAsia="仿宋" w:cs="仿宋"/>
                <w:color w:val="auto"/>
                <w:kern w:val="0"/>
                <w:sz w:val="24"/>
                <w:highlight w:val="none"/>
                <w:u w:val="singl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hd w:val="clear"/>
              <w:autoSpaceDE w:val="0"/>
              <w:autoSpaceDN w:val="0"/>
              <w:snapToGrid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hd w:val="clear"/>
              <w:autoSpaceDE w:val="0"/>
              <w:autoSpaceDN w:val="0"/>
              <w:snapToGrid w:val="0"/>
              <w:spacing w:line="440" w:lineRule="exact"/>
              <w:textAlignment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shd w:val="clear"/>
              <w:tabs>
                <w:tab w:val="left" w:pos="900"/>
              </w:tabs>
              <w:spacing w:line="440" w:lineRule="exact"/>
              <w:ind w:hanging="720"/>
              <w:jc w:val="center"/>
              <w:textAlignment w:val="center"/>
              <w:outlineLvl w:val="2"/>
              <w:rPr>
                <w:rFonts w:hint="eastAsia" w:ascii="仿宋" w:hAnsi="仿宋" w:eastAsia="仿宋" w:cs="仿宋"/>
                <w:color w:val="auto"/>
                <w:sz w:val="24"/>
                <w:highlight w:val="none"/>
              </w:rPr>
            </w:pPr>
          </w:p>
        </w:tc>
        <w:tc>
          <w:tcPr>
            <w:tcW w:w="855" w:type="dxa"/>
            <w:vMerge w:val="continue"/>
            <w:vAlign w:val="center"/>
          </w:tcPr>
          <w:p>
            <w:pPr>
              <w:keepNext/>
              <w:keepLines/>
              <w:shd w:val="clear"/>
              <w:tabs>
                <w:tab w:val="left" w:pos="900"/>
              </w:tabs>
              <w:snapToGrid w:val="0"/>
              <w:spacing w:line="440" w:lineRule="exact"/>
              <w:ind w:hanging="720"/>
              <w:textAlignment w:val="center"/>
              <w:outlineLvl w:val="2"/>
              <w:rPr>
                <w:rFonts w:hint="eastAsia" w:ascii="仿宋" w:hAnsi="仿宋" w:eastAsia="仿宋" w:cs="仿宋"/>
                <w:b/>
                <w:color w:val="auto"/>
                <w:sz w:val="24"/>
                <w:highlight w:val="none"/>
              </w:rPr>
            </w:pPr>
          </w:p>
        </w:tc>
        <w:tc>
          <w:tcPr>
            <w:tcW w:w="7515" w:type="dxa"/>
            <w:vAlign w:val="center"/>
          </w:tcPr>
          <w:p>
            <w:pPr>
              <w:shd w:val="clea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shd w:val="clear"/>
              <w:tabs>
                <w:tab w:val="left" w:pos="900"/>
              </w:tabs>
              <w:spacing w:line="440" w:lineRule="exact"/>
              <w:ind w:hanging="720"/>
              <w:jc w:val="center"/>
              <w:textAlignment w:val="center"/>
              <w:outlineLvl w:val="2"/>
              <w:rPr>
                <w:rFonts w:hint="eastAsia" w:ascii="仿宋" w:hAnsi="仿宋" w:eastAsia="仿宋" w:cs="仿宋"/>
                <w:color w:val="auto"/>
                <w:sz w:val="24"/>
                <w:highlight w:val="none"/>
              </w:rPr>
            </w:pPr>
          </w:p>
        </w:tc>
        <w:tc>
          <w:tcPr>
            <w:tcW w:w="855" w:type="dxa"/>
            <w:vMerge w:val="continue"/>
            <w:vAlign w:val="center"/>
          </w:tcPr>
          <w:p>
            <w:pPr>
              <w:keepNext/>
              <w:keepLines/>
              <w:shd w:val="clear"/>
              <w:tabs>
                <w:tab w:val="left" w:pos="900"/>
              </w:tabs>
              <w:snapToGrid w:val="0"/>
              <w:spacing w:line="440" w:lineRule="exact"/>
              <w:ind w:hanging="720"/>
              <w:textAlignment w:val="center"/>
              <w:outlineLvl w:val="2"/>
              <w:rPr>
                <w:rFonts w:hint="eastAsia" w:ascii="仿宋" w:hAnsi="仿宋" w:eastAsia="仿宋" w:cs="仿宋"/>
                <w:b/>
                <w:color w:val="auto"/>
                <w:sz w:val="24"/>
                <w:highlight w:val="none"/>
              </w:rPr>
            </w:pPr>
          </w:p>
        </w:tc>
        <w:tc>
          <w:tcPr>
            <w:tcW w:w="7515" w:type="dxa"/>
            <w:vAlign w:val="center"/>
          </w:tcPr>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pPr>
              <w:shd w:val="clear"/>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pPr>
              <w:shd w:val="clear"/>
              <w:snapToGrid w:val="0"/>
              <w:spacing w:line="44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pPr>
              <w:shd w:val="clear"/>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pPr>
              <w:shd w:val="clea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hd w:val="clea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keepLines/>
              <w:shd w:val="clear"/>
              <w:tabs>
                <w:tab w:val="left" w:pos="900"/>
              </w:tabs>
              <w:spacing w:line="440" w:lineRule="exact"/>
              <w:ind w:hanging="720"/>
              <w:textAlignment w:val="center"/>
              <w:outlineLvl w:val="2"/>
              <w:rPr>
                <w:rFonts w:hint="eastAsia" w:ascii="仿宋" w:hAnsi="仿宋" w:eastAsia="仿宋" w:cs="仿宋"/>
                <w:color w:val="auto"/>
                <w:sz w:val="24"/>
                <w:highlight w:val="none"/>
              </w:rPr>
            </w:pPr>
          </w:p>
        </w:tc>
        <w:tc>
          <w:tcPr>
            <w:tcW w:w="8370" w:type="dxa"/>
            <w:gridSpan w:val="2"/>
            <w:vAlign w:val="center"/>
          </w:tcPr>
          <w:p>
            <w:pPr>
              <w:shd w:val="clear"/>
              <w:spacing w:line="440" w:lineRule="exact"/>
              <w:textAlignment w:val="center"/>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hd w:val="clea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hd w:val="clea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hd w:val="clear" w:color="auto"/>
              <w:adjustRightInd w:val="0"/>
              <w:spacing w:line="440" w:lineRule="exact"/>
              <w:rPr>
                <w:rFonts w:hint="eastAsia" w:ascii="仿宋" w:hAnsi="仿宋" w:eastAsia="仿宋" w:cs="仿宋"/>
                <w:b/>
                <w:color w:val="auto"/>
                <w:kern w:val="0"/>
                <w:sz w:val="24"/>
                <w:szCs w:val="21"/>
                <w:highlight w:val="none"/>
                <w:lang w:bidi="ar-SA"/>
              </w:rPr>
            </w:pPr>
            <w:r>
              <w:rPr>
                <w:rFonts w:hint="eastAsia" w:ascii="仿宋" w:hAnsi="仿宋" w:eastAsia="仿宋" w:cs="仿宋"/>
                <w:color w:val="auto"/>
                <w:kern w:val="0"/>
                <w:sz w:val="24"/>
                <w:szCs w:val="21"/>
                <w:highlight w:val="none"/>
                <w:lang w:bidi="ar-SA"/>
              </w:rPr>
              <w:t>①以中标通知书中确定的中标总金额作为招标代理服务费的计算基数，具体比例参照《国家计委关于印发&lt;招标代理服务收费管理暂行办法&gt;的通知》（计价格[2002]1980号）规定的标准,下浮99.9%执行，代理服务费少于5000元时，按5000元计取。</w:t>
            </w:r>
          </w:p>
          <w:p>
            <w:pPr>
              <w:shd w:val="clear" w:color="auto"/>
              <w:adjustRightInd w:val="0"/>
              <w:spacing w:line="440" w:lineRule="exact"/>
              <w:rPr>
                <w:rFonts w:hint="eastAsia" w:ascii="仿宋" w:hAnsi="仿宋" w:eastAsia="仿宋" w:cs="仿宋"/>
                <w:color w:val="auto"/>
                <w:kern w:val="0"/>
                <w:sz w:val="24"/>
                <w:szCs w:val="21"/>
                <w:highlight w:val="none"/>
                <w:lang w:bidi="ar-SA"/>
              </w:rPr>
            </w:pPr>
            <w:r>
              <w:rPr>
                <w:rFonts w:hint="eastAsia" w:ascii="仿宋" w:hAnsi="仿宋" w:eastAsia="仿宋" w:cs="仿宋"/>
                <w:color w:val="auto"/>
                <w:kern w:val="0"/>
                <w:sz w:val="24"/>
                <w:szCs w:val="21"/>
                <w:highlight w:val="none"/>
                <w:lang w:bidi="ar-SA"/>
              </w:rPr>
              <w:t>②代理服务费的交纳方式：</w:t>
            </w:r>
          </w:p>
          <w:p>
            <w:pPr>
              <w:shd w:val="clear" w:color="auto"/>
              <w:adjustRightInd w:val="0"/>
              <w:spacing w:line="440" w:lineRule="exact"/>
              <w:rPr>
                <w:rFonts w:hint="eastAsia" w:ascii="仿宋" w:hAnsi="仿宋" w:eastAsia="仿宋" w:cs="仿宋"/>
                <w:color w:val="auto"/>
                <w:kern w:val="0"/>
                <w:sz w:val="24"/>
                <w:szCs w:val="21"/>
                <w:highlight w:val="none"/>
                <w:lang w:bidi="ar-SA"/>
              </w:rPr>
            </w:pPr>
            <w:r>
              <w:rPr>
                <w:rFonts w:hint="eastAsia" w:ascii="仿宋" w:hAnsi="仿宋" w:eastAsia="仿宋" w:cs="仿宋"/>
                <w:color w:val="auto"/>
                <w:kern w:val="0"/>
                <w:sz w:val="24"/>
                <w:szCs w:val="21"/>
                <w:highlight w:val="none"/>
                <w:lang w:bidi="ar-SA"/>
              </w:rPr>
              <w:t>用银行支票、汇票、电汇、现金等付款方式直接交纳代理服务费。</w:t>
            </w:r>
          </w:p>
          <w:p>
            <w:pPr>
              <w:shd w:val="clear" w:color="auto"/>
              <w:adjustRightInd w:val="0"/>
              <w:spacing w:line="440" w:lineRule="exact"/>
              <w:rPr>
                <w:rFonts w:hint="eastAsia" w:ascii="仿宋" w:hAnsi="仿宋" w:eastAsia="仿宋" w:cs="仿宋"/>
                <w:color w:val="auto"/>
                <w:kern w:val="0"/>
                <w:sz w:val="24"/>
                <w:szCs w:val="21"/>
                <w:highlight w:val="none"/>
                <w:lang w:bidi="ar-SA"/>
              </w:rPr>
            </w:pPr>
            <w:r>
              <w:rPr>
                <w:rFonts w:hint="eastAsia" w:ascii="仿宋" w:hAnsi="仿宋" w:eastAsia="仿宋" w:cs="仿宋"/>
                <w:color w:val="auto"/>
                <w:kern w:val="0"/>
                <w:sz w:val="24"/>
                <w:szCs w:val="21"/>
                <w:highlight w:val="none"/>
                <w:lang w:bidi="ar-SA"/>
              </w:rPr>
              <w:t>公司名称：浙江天源工程管理咨询有限公司</w:t>
            </w:r>
          </w:p>
          <w:p>
            <w:pPr>
              <w:shd w:val="clear" w:color="auto"/>
              <w:adjustRightInd w:val="0"/>
              <w:spacing w:line="440" w:lineRule="exact"/>
              <w:rPr>
                <w:rFonts w:hint="eastAsia" w:ascii="仿宋" w:hAnsi="仿宋" w:eastAsia="仿宋" w:cs="仿宋"/>
                <w:color w:val="auto"/>
                <w:kern w:val="0"/>
                <w:sz w:val="24"/>
                <w:szCs w:val="21"/>
                <w:highlight w:val="none"/>
                <w:lang w:bidi="ar-SA"/>
              </w:rPr>
            </w:pPr>
            <w:r>
              <w:rPr>
                <w:rFonts w:hint="eastAsia" w:ascii="仿宋" w:hAnsi="仿宋" w:eastAsia="仿宋" w:cs="仿宋"/>
                <w:color w:val="auto"/>
                <w:kern w:val="0"/>
                <w:sz w:val="24"/>
                <w:szCs w:val="21"/>
                <w:highlight w:val="none"/>
                <w:lang w:bidi="ar-SA"/>
              </w:rPr>
              <w:t>账    号：397458339397</w:t>
            </w:r>
          </w:p>
          <w:p>
            <w:pPr>
              <w:shd w:val="clear" w:color="auto"/>
              <w:adjustRightInd w:val="0"/>
              <w:spacing w:line="440" w:lineRule="exact"/>
              <w:rPr>
                <w:rFonts w:hint="eastAsia" w:ascii="仿宋" w:hAnsi="仿宋" w:eastAsia="仿宋" w:cs="仿宋"/>
                <w:color w:val="auto"/>
                <w:kern w:val="0"/>
                <w:sz w:val="24"/>
                <w:szCs w:val="21"/>
                <w:highlight w:val="none"/>
                <w:lang w:bidi="ar-SA"/>
              </w:rPr>
            </w:pPr>
            <w:r>
              <w:rPr>
                <w:rFonts w:hint="eastAsia" w:ascii="仿宋" w:hAnsi="仿宋" w:eastAsia="仿宋" w:cs="仿宋"/>
                <w:color w:val="auto"/>
                <w:kern w:val="0"/>
                <w:sz w:val="24"/>
                <w:szCs w:val="21"/>
                <w:highlight w:val="none"/>
                <w:lang w:bidi="ar-SA"/>
              </w:rPr>
              <w:t xml:space="preserve">开 户 行：中国银行绍兴市大云支行 </w:t>
            </w:r>
          </w:p>
          <w:p>
            <w:pPr>
              <w:shd w:val="clear"/>
              <w:spacing w:line="440" w:lineRule="exact"/>
              <w:textAlignment w:val="center"/>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lang w:bidi="ar-SA"/>
              </w:rPr>
              <w:t>③ 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hd w:val="clea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hd w:val="clea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pPr>
        <w:pageBreakBefore/>
        <w:shd w:val="clear"/>
        <w:adjustRightInd/>
        <w:spacing w:line="360" w:lineRule="auto"/>
        <w:jc w:val="center"/>
        <w:outlineLvl w:val="0"/>
        <w:rPr>
          <w:rFonts w:hint="eastAsia" w:ascii="仿宋" w:hAnsi="仿宋" w:eastAsia="仿宋" w:cs="仿宋"/>
          <w:b/>
          <w:color w:val="auto"/>
          <w:sz w:val="32"/>
          <w:szCs w:val="32"/>
          <w:highlight w:val="none"/>
        </w:rPr>
      </w:pPr>
      <w:bookmarkStart w:id="19" w:name="_Hlt74730295"/>
      <w:bookmarkEnd w:id="19"/>
      <w:bookmarkStart w:id="20" w:name="_Hlt68072990"/>
      <w:bookmarkEnd w:id="20"/>
      <w:bookmarkStart w:id="21" w:name="_Hlt74714665"/>
      <w:bookmarkEnd w:id="21"/>
      <w:bookmarkStart w:id="22" w:name="_Hlt74729768"/>
      <w:bookmarkEnd w:id="22"/>
      <w:bookmarkStart w:id="23" w:name="_Hlt75236290"/>
      <w:bookmarkEnd w:id="23"/>
      <w:bookmarkStart w:id="24" w:name="_Hlt74707468"/>
      <w:bookmarkEnd w:id="24"/>
      <w:bookmarkStart w:id="25" w:name="_Hlt68057669"/>
      <w:bookmarkEnd w:id="25"/>
      <w:bookmarkStart w:id="26" w:name="_Hlt75236011"/>
      <w:bookmarkEnd w:id="26"/>
      <w:bookmarkStart w:id="27" w:name="_Hlt68072998"/>
      <w:bookmarkEnd w:id="27"/>
      <w:bookmarkStart w:id="28" w:name="_Hlt68403820"/>
      <w:bookmarkEnd w:id="28"/>
      <w:bookmarkStart w:id="29" w:name="_Hlt75236101"/>
      <w:bookmarkEnd w:id="29"/>
      <w:bookmarkStart w:id="30" w:name="_Hlt68073093"/>
      <w:bookmarkEnd w:id="30"/>
      <w:bookmarkStart w:id="31" w:name="第三部分"/>
      <w:bookmarkStart w:id="32" w:name="_Toc164416483"/>
      <w:r>
        <w:rPr>
          <w:rFonts w:hint="eastAsia" w:ascii="仿宋" w:hAnsi="仿宋" w:eastAsia="仿宋" w:cs="仿宋"/>
          <w:b/>
          <w:color w:val="auto"/>
          <w:sz w:val="32"/>
          <w:szCs w:val="32"/>
          <w:highlight w:val="none"/>
        </w:rPr>
        <w:t>一、总则</w:t>
      </w:r>
    </w:p>
    <w:p>
      <w:pPr>
        <w:shd w:val="clea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shd w:val="clea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2.4“监督单位”系指招标公告中载明的本项目的监督管理部门。</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2.7“电子交易平台”系指本项目采购活动所依托的乐采云平台（https://www.lecaiyun.com/）。</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系指适用本项目的要求，“☐” 系指不适用本项目的要求。</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hd w:val="clea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w:t>
      </w:r>
      <w:r>
        <w:rPr>
          <w:rFonts w:hint="eastAsia" w:ascii="仿宋" w:hAnsi="仿宋" w:eastAsia="仿宋" w:cs="仿宋"/>
          <w:color w:val="auto"/>
          <w:sz w:val="24"/>
          <w:highlight w:val="none"/>
        </w:rPr>
        <w:t>领绿色编码的柴油动力移动源不得进入作业现场施工。</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hd w:val="clea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hd w:val="clea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hd w:val="clea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比例范围为：10%-20%。），用扣除后的价格参加评审。</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比例范围为：4%-6%。），用扣除后的价格参加评审。组成联合体或者接受分包的小微企业与联合体内其他企业、分包企业之间存在直接控股、管理关系的，不享受价格扣除优惠政策。</w:t>
      </w:r>
    </w:p>
    <w:p>
      <w:pPr>
        <w:shd w:val="clea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以联合体形式参加政府采购活动，联合体各方均为中小企业的，联合体视同中小企业。其中，联合体各方均为小微企业的，联合体视同小微企业。</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0"/>
        <w:shd w:val="clear"/>
        <w:snapToGrid w:val="0"/>
        <w:spacing w:before="0" w:line="440" w:lineRule="exact"/>
        <w:ind w:firstLine="640"/>
        <w:rPr>
          <w:rFonts w:hint="eastAsia" w:ascii="仿宋" w:hAnsi="仿宋" w:eastAsia="仿宋" w:cs="仿宋"/>
          <w:color w:val="auto"/>
          <w:sz w:val="32"/>
          <w:szCs w:val="32"/>
          <w:highlight w:val="none"/>
        </w:rPr>
      </w:pPr>
    </w:p>
    <w:p>
      <w:pPr>
        <w:shd w:val="clea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7"/>
        <w:shd w:val="clear"/>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5"/>
        <w:shd w:val="clear"/>
        <w:rPr>
          <w:rFonts w:hint="eastAsia" w:ascii="仿宋" w:hAnsi="仿宋" w:eastAsia="仿宋" w:cs="仿宋"/>
          <w:color w:val="auto"/>
          <w:sz w:val="32"/>
          <w:szCs w:val="32"/>
          <w:highlight w:val="none"/>
          <w:lang w:val="en-US"/>
        </w:rPr>
      </w:pPr>
    </w:p>
    <w:p>
      <w:pPr>
        <w:shd w:val="clea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hd w:val="clea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hd w:val="clea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pPr>
        <w:shd w:val="clea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hd w:val="clea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shd w:val="clear"/>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hd w:val="clea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hd w:val="clea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hd w:val="clea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hd w:val="clea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hd w:val="clear"/>
        <w:snapToGrid w:val="0"/>
        <w:spacing w:line="44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hd w:val="clear"/>
        <w:snapToGrid w:val="0"/>
        <w:spacing w:line="440" w:lineRule="exact"/>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pPr>
        <w:shd w:val="clea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hd w:val="clea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pPr>
        <w:shd w:val="clea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pPr>
        <w:shd w:val="clea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hd w:val="clea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pPr>
        <w:shd w:val="clea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pPr>
        <w:shd w:val="clea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pPr>
        <w:pStyle w:val="130"/>
        <w:shd w:val="clear"/>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pPr>
        <w:shd w:val="clea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pPr>
        <w:shd w:val="clea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hd w:val="clea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pPr>
        <w:shd w:val="clea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hd w:val="clear"/>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hd w:val="clea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hd w:val="clea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hd w:val="clea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pPr>
        <w:pStyle w:val="130"/>
        <w:shd w:val="clear"/>
        <w:spacing w:before="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hd w:val="clear"/>
        <w:spacing w:before="0" w:line="440" w:lineRule="exact"/>
        <w:ind w:firstLine="643"/>
        <w:rPr>
          <w:rFonts w:hint="eastAsia" w:ascii="仿宋" w:hAnsi="仿宋" w:eastAsia="仿宋" w:cs="仿宋"/>
          <w:b/>
          <w:color w:val="auto"/>
          <w:sz w:val="32"/>
          <w:highlight w:val="none"/>
        </w:rPr>
      </w:pPr>
    </w:p>
    <w:p>
      <w:pPr>
        <w:shd w:val="clear"/>
        <w:spacing w:line="360" w:lineRule="auto"/>
        <w:jc w:val="center"/>
        <w:rPr>
          <w:rFonts w:hint="eastAsia" w:ascii="仿宋" w:hAnsi="仿宋" w:eastAsia="仿宋" w:cs="仿宋"/>
          <w:b/>
          <w:color w:val="auto"/>
          <w:sz w:val="32"/>
          <w:szCs w:val="32"/>
          <w:highlight w:val="none"/>
        </w:rPr>
      </w:pPr>
      <w:bookmarkStart w:id="33" w:name="_Toc91899903"/>
      <w:r>
        <w:rPr>
          <w:rFonts w:hint="eastAsia" w:ascii="仿宋" w:hAnsi="仿宋" w:eastAsia="仿宋" w:cs="仿宋"/>
          <w:b/>
          <w:color w:val="auto"/>
          <w:sz w:val="32"/>
          <w:szCs w:val="32"/>
          <w:highlight w:val="none"/>
        </w:rPr>
        <w:t>四、开标和评标</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rPr>
        <w:t>五</w:t>
      </w:r>
      <w:r>
        <w:rPr>
          <w:rFonts w:hint="eastAsia" w:ascii="仿宋" w:hAnsi="仿宋" w:eastAsia="仿宋" w:cs="仿宋"/>
          <w:color w:val="auto"/>
          <w:sz w:val="24"/>
          <w:highlight w:val="none"/>
        </w:rPr>
        <w:t>人以上单数。</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hd w:val="clea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hd w:val="clea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hd w:val="clea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shd w:val="clear"/>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widowControl w:val="0"/>
        <w:shd w:val="clear"/>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hd w:val="clear"/>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shd w:val="clea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pPr>
        <w:shd w:val="clea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hd w:val="clea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hd w:val="clea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hd w:val="clea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hd w:val="clea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hd w:val="clea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hd w:val="clear"/>
        <w:snapToGrid w:val="0"/>
        <w:spacing w:line="360" w:lineRule="auto"/>
        <w:ind w:firstLine="482" w:firstLineChars="150"/>
        <w:jc w:val="center"/>
        <w:rPr>
          <w:rFonts w:hint="eastAsia" w:ascii="仿宋" w:hAnsi="仿宋" w:eastAsia="仿宋" w:cs="仿宋"/>
          <w:b/>
          <w:color w:val="auto"/>
          <w:sz w:val="32"/>
          <w:highlight w:val="none"/>
        </w:rPr>
      </w:pPr>
    </w:p>
    <w:bookmarkEnd w:id="33"/>
    <w:p>
      <w:pPr>
        <w:pStyle w:val="35"/>
        <w:shd w:val="clear"/>
        <w:spacing w:line="360" w:lineRule="auto"/>
        <w:ind w:firstLine="726"/>
        <w:jc w:val="center"/>
        <w:rPr>
          <w:rFonts w:hint="eastAsia" w:ascii="仿宋" w:hAnsi="仿宋" w:eastAsia="仿宋" w:cs="仿宋"/>
          <w:b/>
          <w:color w:val="auto"/>
          <w:sz w:val="32"/>
          <w:szCs w:val="32"/>
          <w:highlight w:val="none"/>
        </w:rPr>
      </w:pPr>
      <w:bookmarkStart w:id="34" w:name="_Toc81372953"/>
      <w:bookmarkStart w:id="35" w:name="_Toc81372776"/>
      <w:bookmarkStart w:id="36" w:name="_Toc84325929"/>
      <w:r>
        <w:rPr>
          <w:rFonts w:hint="eastAsia" w:ascii="仿宋" w:hAnsi="仿宋" w:eastAsia="仿宋" w:cs="仿宋"/>
          <w:b/>
          <w:color w:val="auto"/>
          <w:sz w:val="32"/>
          <w:szCs w:val="32"/>
          <w:highlight w:val="none"/>
        </w:rPr>
        <w:t>五、授予合同</w:t>
      </w:r>
    </w:p>
    <w:bookmarkEnd w:id="34"/>
    <w:bookmarkEnd w:id="35"/>
    <w:bookmarkEnd w:id="36"/>
    <w:p>
      <w:pPr>
        <w:pStyle w:val="17"/>
        <w:shd w:val="clear"/>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hd w:val="clea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hd w:val="clea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shd w:val="clear"/>
        <w:tabs>
          <w:tab w:val="left" w:pos="0"/>
        </w:tabs>
        <w:spacing w:line="360" w:lineRule="auto"/>
        <w:ind w:firstLine="480"/>
        <w:rPr>
          <w:rFonts w:hint="eastAsia" w:ascii="仿宋" w:hAnsi="仿宋" w:eastAsia="仿宋" w:cs="仿宋"/>
          <w:color w:val="auto"/>
          <w:kern w:val="0"/>
          <w:sz w:val="24"/>
          <w:highlight w:val="none"/>
        </w:rPr>
      </w:pPr>
    </w:p>
    <w:p>
      <w:pPr>
        <w:shd w:val="clea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pPr>
        <w:shd w:val="clea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hd w:val="clea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pPr>
        <w:shd w:val="clear"/>
        <w:autoSpaceDE w:val="0"/>
        <w:autoSpaceDN w:val="0"/>
        <w:spacing w:line="440" w:lineRule="exact"/>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pPr>
        <w:shd w:val="clea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hd w:val="clear"/>
        <w:snapToGrid w:val="0"/>
        <w:spacing w:line="440" w:lineRule="exact"/>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pPr>
        <w:shd w:val="clea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hd w:val="clear"/>
        <w:spacing w:line="440" w:lineRule="exact"/>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pPr>
        <w:shd w:val="clear"/>
        <w:spacing w:line="440" w:lineRule="exact"/>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pPr>
        <w:shd w:val="clea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4.4以联合体形式参加采购活动的，其投诉应当由组成联合体的所有供应商共同提出。</w:t>
      </w:r>
    </w:p>
    <w:p>
      <w:pPr>
        <w:shd w:val="clear"/>
        <w:snapToGrid w:val="0"/>
        <w:spacing w:line="440" w:lineRule="exact"/>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pPr>
        <w:pStyle w:val="25"/>
        <w:shd w:val="clear"/>
        <w:spacing w:line="440" w:lineRule="exact"/>
        <w:ind w:firstLine="480" w:firstLineChars="200"/>
        <w:rPr>
          <w:rFonts w:hint="eastAsia" w:ascii="仿宋" w:hAnsi="仿宋" w:eastAsia="仿宋" w:cs="仿宋"/>
          <w:color w:val="auto"/>
          <w:kern w:val="0"/>
          <w:highlight w:val="none"/>
        </w:rPr>
        <w:sectPr>
          <w:footerReference r:id="rId13" w:type="first"/>
          <w:footerReference r:id="rId12" w:type="default"/>
          <w:pgSz w:w="11906" w:h="16838"/>
          <w:pgMar w:top="1814" w:right="1474" w:bottom="1644" w:left="1474" w:header="851" w:footer="992" w:gutter="0"/>
          <w:pgBorders>
            <w:top w:val="none" w:sz="0" w:space="0"/>
            <w:left w:val="none" w:sz="0" w:space="0"/>
            <w:bottom w:val="none" w:sz="0" w:space="0"/>
            <w:right w:val="none" w:sz="0" w:space="0"/>
          </w:pgBorders>
          <w:pgNumType w:start="0"/>
          <w:cols w:space="720" w:num="1"/>
          <w:docGrid w:linePitch="312" w:charSpace="0"/>
        </w:sectPr>
      </w:pPr>
    </w:p>
    <w:bookmarkEnd w:id="31"/>
    <w:bookmarkEnd w:id="32"/>
    <w:p>
      <w:pPr>
        <w:shd w:val="clear"/>
        <w:spacing w:line="360" w:lineRule="auto"/>
        <w:jc w:val="center"/>
        <w:outlineLvl w:val="0"/>
        <w:rPr>
          <w:rFonts w:hint="eastAsia" w:ascii="仿宋" w:hAnsi="仿宋" w:eastAsia="仿宋" w:cs="仿宋"/>
          <w:b/>
          <w:color w:val="auto"/>
          <w:sz w:val="36"/>
          <w:szCs w:val="36"/>
          <w:highlight w:val="none"/>
        </w:rPr>
      </w:pPr>
      <w:bookmarkStart w:id="37" w:name="_Toc86217003"/>
      <w:bookmarkStart w:id="38" w:name="第五部分"/>
      <w:r>
        <w:rPr>
          <w:rFonts w:hint="eastAsia" w:ascii="仿宋" w:hAnsi="仿宋" w:eastAsia="仿宋" w:cs="仿宋"/>
          <w:b/>
          <w:color w:val="auto"/>
          <w:sz w:val="36"/>
          <w:szCs w:val="36"/>
          <w:highlight w:val="none"/>
        </w:rPr>
        <w:t>第三部分招标项目范围及要求</w:t>
      </w:r>
    </w:p>
    <w:p>
      <w:pPr>
        <w:shd w:val="clear" w:color="auto"/>
        <w:jc w:val="left"/>
        <w:rPr>
          <w:rFonts w:hint="eastAsia" w:ascii="仿宋" w:hAnsi="仿宋" w:eastAsia="仿宋" w:cs="仿宋"/>
          <w:b/>
          <w:color w:val="auto"/>
          <w:sz w:val="32"/>
          <w:szCs w:val="32"/>
          <w:highlight w:val="none"/>
          <w:lang w:bidi="ar-SA"/>
        </w:rPr>
      </w:pPr>
      <w:r>
        <w:rPr>
          <w:rFonts w:hint="eastAsia" w:ascii="仿宋" w:hAnsi="仿宋" w:eastAsia="仿宋" w:cs="仿宋"/>
          <w:b/>
          <w:color w:val="auto"/>
          <w:sz w:val="32"/>
          <w:szCs w:val="32"/>
          <w:highlight w:val="none"/>
          <w:lang w:bidi="ar-SA"/>
        </w:rPr>
        <w:t>一、车辆性能及要求</w:t>
      </w:r>
    </w:p>
    <w:tbl>
      <w:tblPr>
        <w:tblStyle w:val="64"/>
        <w:tblW w:w="9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1"/>
        <w:gridCol w:w="1669"/>
        <w:gridCol w:w="5668"/>
        <w:gridCol w:w="1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标项一：名称：8米级纯电空调公交客车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数量：70辆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（一）招标车辆技术要求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1、整车性能要求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安装要求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必须是列入国家上牌目录的车型，客车整车性能必须符合国家GB7258《机动车运行安全条例》，GB13094《客车结构安全要求》GB 18384《电动汽车安全要求》、GB 38032《电动客车安全要求》等相关客车标准要求，以及卖方在投标书所明示达到的各项技术指标要求。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客车操作稳定性达到QC/T480《汽车操作稳定性指标限值与评价方法》标准要求。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客车密封性能达到QC/T476《客车防雨密封性限值》标准要求。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车辆安全装置应符合国家法规要求，车辆制动结构应符合GB12676汽车制动系统结构、性能和试验方法的有关规定。如发生安全事故时，经认定属供方责任的，按法律规定承担一切责任。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客车整车保温隔热材料，各类内饰部件和电器电线（包括电器接插件），阻燃与环保性能必须满足国家和行业相关标准要求。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客车采用优质成型矩形钢管焊接的骨架结构，方基调小圆角车身选型，超大视野的夹胶全景玻璃，结构紧凑，比例协调，线条流畅。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投标车型必须投标车型必须已进入国家汽车产品公告，在《免征车辆购置税的新能源汽车车型目录》及《享受车船税减免优惠的节约能源使用新能源汽车车型目录》内。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车辆各项安全设施配置功能和有关标志标示等必须符合国家JT/T 1240、JT/T 1241、CCCF/XFJJ-01、GB/T13094、GB8624、GB38262、JT/T1095、GB5845等标准要求。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1"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668"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52"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trPr>
        <w:tc>
          <w:tcPr>
            <w:tcW w:w="991"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668"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52"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内  容</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技术参数及说明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长（mm）</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宽（mm）</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高（mm）</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最大额定人数</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标配座位数</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最高车速（km/h）</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总质量（kg）</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续驶里程（km）</w:t>
            </w:r>
          </w:p>
        </w:tc>
        <w:tc>
          <w:tcPr>
            <w:tcW w:w="70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8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注：1、续驶里程以国家汽车质量监督检测中心出具的检测报告（整车产品定型）和工信部发布的新能源汽车车辆购置税减免车型目录为依据；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2、整车参数及车辆名称、车辆外观以投标车辆公告为准。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3、整车技术配置需求：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技术配置要求</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电池系统</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▲1、采用优质磷酸铁锂电池，电量不低于175kWh（电池容量以国家汽车质量监督检测中心出具的检测报告（整车产品定型）为依据）；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★2、电芯与电池系统为同一电池生产企业；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池具备1C倍率充电至80%SOC的能力，在质保期内应委托电池制造厂执行专业规范的电池定期维保服务，包括安全检查、性能检测、电池均衡保养等，并对有故障的电池进行处理，在质保期内电池组电量衰减超过15%予以免费技术处理，8年内电池组电量衰减不超过总电量的20%，否则投标人无条件免费更换同品牌全新电池（电池容量衰减由专业第三方检测机构进行检测，检测费用由投标人承担）。一次充满电后，在预留20%电量、在绍兴地区综合路况的情况下，空调开启制冷模式或开启制暖模式、车辆满载情况下实际续驶里程≥250k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4、单位载质量能量消耗量：Ekg≤0.18（投标人提供依据）；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5、电池成组能量密度≥160Wh/kg（能量密度指成组后能量密度，非单体电池能量密度，电池厂家及客车投标人家必须提供真实数据，并提供国家汽车质量监督检测中心出具的检测报告（整车产品定型）依据）；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6、配备电池管理系统(BMS)，管理功能如下：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1）具有电池温度、电压、电流、电量的监控功能及加热控制、电池故障分析与在线报警，采用主动均衡技术，满足各种工况要求。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2）为保证车辆收车或长期停放过程中电池系统安全，电池系统要求具备24小时监控系统。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3）满足国家充电技术要求,充电插口必须是国标。具备未拔充电枪车辆不能起步功能、拔枪时灭弧功能。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4）电池管理系统免费质保期不少于8年。电池管理系统要符合国家标准，系统要提供免费升级更新。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5）储存车辆VIN码等相关信息，以使招标人充电桩在车辆充电过程中可读取车辆VIN码等信息，并可与招标人公交车智能充电管理系统进行免费对接；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7、电池安全：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（1）每个电池组内部均串联有保险，在电池失效时可及时断开，配置绝缘监测模块，实时监测每箱电池的绝缘状况，保证电池系统的高压安全。有高压熔断装置（手动及自动两种控制方式）；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动力电池具有防碰撞保护装置并确保电池舱发生碰撞后符合国家标准。电池与整车隔离，绝缘、防火隔热设计，电池仓与客舱之间铺设防火隔热材料，符合GB8624标准“阻燃性能等级，A级不燃”；多重熔断保护，整车高压分级预警系统，高压快断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电池箱专用灭火装置，具有热失控预警、火灾报警及火灾抑制等功能的灭火装置，电池箱灭火装置应具有温度传感器、气体分解传感器、烟雾传感器并能实现电解液漏液自动检测报警，在监测到储能装置热失控和火情状况时，以声光报警信号向驾驶员报警。电池箱灭火装置采用投标厂家标配，且需得到选用电池生产制造的安装许可，同时由权威消防研究中心对该产品的试验报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8、电池组冷却系统采用内置空调集成液冷模式，冷却系统风扇电机为进口无刷电机，带进口循环水泵，并接入CAN总线具有提示功能；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9、电池布置形式：电池合理布置，做好车辆重量重心的均衡分布，电池安装位置不低于国家标准，满足涉水深度要求；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防护等级：电池箱、信号连接器不低于国家标准，防水、防尘等级达到IP67或以上的防护等级，满足雨雪天气运营需求及车辆的涉水安全，须提供国家认可检测机构出具的检测报告。具有电池热管理功能，须在冬季可保证有效的充电效率，不得出现冬季低温车辆无法充电情况。动力电池具有良好的防火及散热性能，防止夏季出现高温现象，保证良好的高低温工作性能。动力电池充分考虑绍兴地区的气温变化（适应冬夏温度范围），安装必须散热、防水，并具备极端天气时，自我保护功能和安全提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11、动力电池企业售后服务能力通过国家标准GB/T27922-2011《商品售后服务评价体系》认证并获得五星及以上级别的证书，须提供证明文件。</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动力电池回收处理：投标人必须根据国家相关政策和环保法规对维修、更换及车辆报废时的废旧动力电池（含维修费用）进行免费环保回收（车辆报废时，国家或地方相关法律法规政策及车辆报废回收单位有专门要求的除外），招标人保留动力电池的最终处理权。招标人根据车辆使用报废情况通知投标人，投标人应在接到通知30日内对动力电池进行回收处理并提供环保处理证明。投标人出具相关承诺书。</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驱动电机</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▲1、采用集成式电驱桥（含轮边驱动）。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2、采用水冷永磁同步电机，电机峰值功率≥180KW；（以国家汽车质量监督检测中心出具的检测报告（整车产品定型）以及相关车桥示意图等资料为依据）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3、无级变速，驱动电机具备辅助制动功能，同时具有能量回收功能；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4、电机防护等级：IP67或以上防护等级；</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5、电机冷却系统采用厂家标配电子智能冷却控制系统，标配水箱、进口无刷风机；</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整车高压部件控制器</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1、高压电控系统均采用优质控制器，要求控制器高度集成，尽量减少高压连接点；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高压配电箱采用集中配电方式，具有多路保护电路，内置高压接触器、高压熔断器、绝缘检测板等；须匹配MSD开关，保证维护安全；须具有高压互锁功能，保证在突发情况或故障时，能够断开高压；须内置预充电路；须内置绝缘检测电路，具有漏电保护功能；须具有充电保护电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3、车辆操作时杜绝系统发生与操作不符导致车辆失控的情况，突发高压掉断电时仍可以确保转向操作，不得出现突发断电导致方向失控或锁死现象。</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4、整车采用耐高温的辐照阻燃电动车专用电缆，具有屏蔽层，各高压系统具有电磁干扰认证，各高压部件之间不可互相干扰。</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底盘</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▲1、采用集成式电驱桥（含轮边驱动）。前桥轴荷5500kg及以上，后桥轴荷6000kg及以上。（以车型公告以及相关车桥示意图等资料为依据）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2、采用适合纯电模式驱动的后桥总成，冲压焊接整体式桥壳，差速器总成单级主减速器、主减速齿精磨加工。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悬挂：采用厂家标配空气悬挂系统，配装进口气囊和进口减震器，采空气悬挂系统承载能力必须满足城市公交运营线路实际超载要求，平衡杆及连接支架在使用周期内出现断裂等现象，其责任全部由客车投标人承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4、轮毂采用进口一体化轴承单元免维护（免维护轮毂总成）。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制动系统：采用厂家标配前后盘式制动，制动灵敏，具有良好的操作稳定性和可靠性；配双回路气制动系统，配带制动阀、回路保护阀、前后继动阀、差动继动阀、冷凝器、空气干燥器。制动系统阀类、ABS均使用进口品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6、驻车制动：采用双回路气制动系统，驻车制动采用手控操纵储能弹簧制动，作用于后轮，增设有解除驻车制动控制气路与接口。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7、转向系统：采用厂家标配电动液压转向助力系统，转向助力泵与转向器要匹配。</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8、配置投标人标配无油活塞电动打气泵。</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9、液管路：管路采用优质聚氨酯增强型软管及耐油胶管。管路系统按标准进行保压泄露测试，符合要求，与电线束和油水管分别布置。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气管路：空压机至冷凝器管路采用优质铜管、其余部分亚太管，并根据不同功能采用不同颜色管路进行区分，便于后期维护保养。管路各接口连接可靠，不凹瘪、不扭曲、不坠挂，在车辆运动中不碰擦其它零部件或因抖动出现断裂。管路弯曲或与车身接近部位必须采用固定支架（中间增加防磨损胶垫圈）进行固定，固定间距不得大于600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11、贮气筒容量：贮气筒总容量满足整车实际需求及公交线路实际使用需求，耐腐蚀。储气筒放水开关采用智能自动放水。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12、配装底盘集中润滑系统，需实现远程监控功能，加入CAN总线，智能ECU液晶监控，具有计数、油压、运行、故障报警、故障诊断等功能,可接入招标人统一的管理平台。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13、采用铝合金轮辋，真空胎轮胎。（每一辆带一个加轮辋备胎配胎压监测）配标配胎压监测系统，胎压监测系统可接入招标人统一的管理平台。配轮胎螺丝防松扣。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14、制动低压报警：设有灯光指示报警和声响报警。</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各类管路（包括各类滤清器）不得与电器和电线、以及客车其它运动部件发生干涉和碰擦，所有管路线束等不得布置在底架下方（不得低于底架平面）。电线束、气管必须分列敷设，不得混扎一起，便于维修检查。</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一、前、后桥推荐品牌：参照或相当于东风德纳桥或方盛或ZF。</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二、轮胎推荐品牌：参照或相当于佳通或倍耐力或米其林或普利司通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电器系统</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1、全车线路控制采用三级CAN总线，连接各类控制系统及传感器，底盘部分接制动气路、集中润滑控制，车身部分接上下客门、除霜机、空调、灯光、仪表、喇叭、倒车监视等控制，CAN总线必须提供485输出接口。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2、整车集中配电板安装在防水、防潮、防尘及便于检修的安全位置。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配备低压锂电池系统，符合GB38032《电动客车安全要求》。蓄电池仓必须单独设立，与控制盒等电器元件完全隔绝，并与车身具有密封结构，采用推拉或旋转式安装支架，底座留有排水孔；蓄电池架要求旋转或推拉方便，固定锁止可靠，易于清洁和维护；总电源开关在充电口附近单独设计小门，方便充电时断开电源总开关，提高充电安全性与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器线路：整车电器、电器线路、接插件和熔断器必须符合国家相关标准要求。所有电线采用耐高温（125℃）、辐照交联阻燃型电线，底盘电线和电线束外加套阻燃波纹管，所有电线接插件采用进口产品（底盘部分要求防水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5、电线和电线束走向及安装应规范，布置整齐，接头牢固并有绝缘护套，电线和线束每隔250-300 mm安装固定扣攀。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线和电线束不得与客车其它零部件发生碰擦，并避开发热零部件。电线和电线束与车身接触处用阻尼胶固定，电线和电线束穿越孔洞时必须装设防磨损胶垫圈和绝缘护套，进入车身的暗线必须加套阻燃绝缘管安装并可靠固定，整车电线主线部分不得采用拼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7、车辆前部（仪表台附近）电器线路需预留部分备用线路或接线柱，并且接线柱或插接件前端有保险装置。以备车辆增加临时用电器的需求。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8、灯光、照明装置，信号装置、开关的布置符合相关法规的要求。前后灯具维护方便，安全可靠，具有角度可调装置。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9、车厢顶部示宽灯采用内嵌式，车内上下踏步灯安装在踏步内。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10、车厢内灯采用铝合金全景风道内置LED灯源，前后贯通，厢灯采用三档分段交叉控制。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11、采用一体式仪表系统，在仪表显示面板上要有故障“闪码”显示功能。驻车制动气压指示应与后轮制动气压指示的仪表应在同一仪表里显示。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12、CAN总线控制模块的安装必须满足防尘、防水、防静电的要求。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13、安装可打印式行车记录仪。</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专用线路：IC卡POS机、多媒体报站器、车载监控系统、调度终端、安全卫士、客门(倒车)监视器电源线路采用双线制，要求焊接专用接地线，并配接线排，确保安全可靠，电源从主配电板单独接入，并独立安装保险丝。IC卡POS机电源线、调度终端、车载监控电源为总闸控制电源，其余电器均以仪表总开关控制电源。</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底架</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1、车辆纵梁和车身骨架应有足够的强度，抗扭、抗弯性能好。充分考虑城市公交车辆实际超载运行的特殊要求，以及绍兴路桥高低落差大的道路条件。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2、底骨架焊接处应有两次防腐处理。下表面应防石击漆涂处理。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3、前后桥轮毂区域应有两层密封防腐处理。保证骨架不外露。</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4、在前、后桥附近底部空间，应根据车辆底架结构特点，设置承重梁。在车身左右侧设有多个支车点，并设置支车点标记。</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车辆纵梁前部适当位置应设置拖钩，拖钩及连接部位骨架、连接方式应满足车辆拖动施救的需求，要求使用方便，拖拉固定可靠。同时纵梁前部区域的各类管路、线束的布置应充分考虑拖车时的运动干涉，以免损坏。</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1、车身骨架采用高强度优质矩形钢管拼焊，整车采用阴极电泳防腐（车身及底盘）工艺或采用铝合金车身，并保证8年以上不锈蚀，充分考虑绍兴地区的潮湿性气候的特点。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2、整车防漏水、漏灰及密封性能良好。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3、车身外侧：采用涨拉蒙皮结构，顶盖蒙皮之间的连接采用搭接方式，侧围蒙皮之间的连接采用对接方式。蒙皮采用优质耐腐镀锌钢板（厚度不小于1 mm），全部蒙皮均经过除污、防锈、磷化处理或选用已做防腐处理的板材。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4、骨架与蒙皮、骨架与地板等接合缝处采用聚氨脂密封胶进行密封防水防锈处理。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5、车身顶棚骨架间距不大于900mm。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6、前后门骨架及上方应加强，必要时加焊加强铁板、厚度不小于3mm。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客车整车采用聚氨酯发泡进行隔热处理。所有隔热填充材料必须符合国家相关标准要求，具有安全、环保、阻燃和无异味等性能，阻燃性能要求能达到相关标准最高等级。车身骨架间聚氨脂发泡厚度不得小于30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8、车厢内侧板采用优质硬性低发泡型PVC板材。内顶板采用打孔型铝塑板，颜色与空调风道、前后围内饰板的颜色一致或相近。内顶板与空调风道、回风窗等各部位接口应确保安装牢固、接口平整无缝隙。</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身左右侧边门采用铝合金材料、翻开式，开启角度不低于150°，机械锁和液压支撑杆检修门结构，并装有胶垫防震、检修门铰链。要求舱门美观牢固，开启方便，锁止可靠，门与车身蒙皮缝隙均匀，液压撑杆支撑力要满足支撑检修门要求，确保安全稳定，在侧围检修门和客车骨架之间增装保险绳（挂钩或钢丝绳或链）。为方便雨刷器等部件的检修与拆装，客车前围为开启式前围，提高维保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10、凡需检修的部位都应开设工作门或检修窗。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驾驶区、仪表台：按照国家JT/T1241标准安装驾驶区防护隔离设施，仪表台和仪表与开关、监视器、报站器布置要方便司机操作使用，顶灯、车厢灯、电子路牌单独安装开关，不常用的操纵开关可布置在司机左侧；仪表台上安装驾驶员喊话器及插口；前后门未关时仪表台有报警灯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12、驾驶室安装带锁证件箱，配置茶杯架；驾驶室不安装收音机；驾驶员左上侧安装电扇（小风扇）。</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13、乘客可触及的车身内外部件、构件都不应有尖角和锐边；乘客门上面的导水槽不应有尖角和锐边，以免影响自动洗车机。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14、安装隐藏式拖把箱及分类垃圾桶。（由中标人提供样式，招标人确认）</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15、车厢安装一只车顶逃生窗。确保密闭性良好，不漏水。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16、车身油漆采用进口或投标人标配油漆。</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地板</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采用大平面环保阻燃PVC地板，阻燃性能要求能达到相关标准最高等级，厚度不小于18MM，地板与客车底架采用胶水及专用螺栓连接，铺设区客车底架横梁加密、地板及座椅固定螺栓要求连接在横梁或替板上、紧固可靠（8年内不发生地板拱起，螺栓松脱开现象），地板各连接缝、地板与车身的接缝处应涂密封胶。整车采用厂家标配耐磨防滑石英沙城市客车专用地板革，地板与地板革采用进口高强度防水专用地板革胶粘接，做到不脱胶、不起泡、不开裂。地板革与地板是采用焊接拼接，接缝处剔割平整。前后乘客门踏步区域采用黄色踏步专用地板革，应有“站立禁区”字样。</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2、地板应设有检修孔和盖板，方便维修。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3、整车采用一级踏步制式，站立区为没有台阶的单一平面区。</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车厢内各阴阳角拼缝处采用铝合金型材拼压或地板革焊接工艺，直角拼缝处采用磨光45°对接，圆弧拼缝处则可采用成型或锯齿状弯曲拼压，确保拼压平整贴服，地板革折边高于地板水平面10CM以上，车身围板下沿采用15cm不锈钢板围裙踢脚。</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门窗及玻璃</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1、车门为厂家标配内摆式前单后双型乘客门，加强型铝合金门板，门玻璃为钢化玻璃，乘客门下带防夹脚设置。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2、乘客门关闭时应装有气囊防夹缓冲装置。乘客门在开启状况时，门外缘距车身外缘不大于100 mm，门轴应装防护装置并设置铝制铆钉固定的防夹提示牌。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3、为确保安全性，设置开门信号灯，只有在门都关好的情况下，信号灯才关闭，车辆才可启动，该信号灯为左右危险信号灯；车速达到5码以上车门不能打开。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4、全车应有门锁装置。各类锁具（除上下客门锁）要求规格统一，为了便于日常管理要求所有锁具可由统一的一把钥匙（三角锁）打开。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5、门泵驱动系统采用电控气动方式，门泵自带控制器，在仪表台适当位置设置乘客门应急打开气动控制阀开关，并在每个乘客门内外处和车外必须装紧急开关，以备紧急使用；门泵带自动气水分离装置。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6、边窗玻璃：粘贴式内藏推拉窗，推拉窗部分尽量大。边窗玻璃采用纳米隔热工艺，透光率51%，有明显隔热隔光玻璃标识。符合GB 9656-2021《机动车玻璃安全技术规范》的要求，左侧第一扇驾驶室窗玻璃为高透光玻璃，玻璃的可见光透射比应不小于95%，可见光反射比应不大于1.5%，前半扇可移动，后半扇固定；右侧安装路牌处对应部分玻璃为透明。玻璃和侧窗与车身骨架采用原装进口粘合胶粘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挡风玻璃：整体式全景夹胶安全玻璃，采用隔热中间膜全景夹层玻璃，透光率&gt;70%；带电加热功能；功能要求:电加热工作期间风挡区域不影响驾驶员视线，电加热除霜效率满足在-18°C正负2℃温度下通电20分钟后，加热区部位至少应有80%透视区，加热区各点温差不大于15°C,连续加热100小时后,功率变化&lt;15%，电压12V、24V可选。后挡风玻璃：整体式钢化安全玻璃。挡风玻璃涂黑部分尺寸必须满足后视镜视角和电子路牌显示要求。雨刮器刮刷面积满足驾驶员视野需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8、驾驶座左、前方安装下拉式活动遮阳帘。</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座椅及扶手杆</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1、座椅布置为：要求座椅最大化安装。座椅布置由投标人提供布置图，招标人选择。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2、座椅防滑、易清洁、乘坐舒适。安装橙色照顾座椅，并安装爱心标识；安装军人专座。具体数量和位置由招标人确定。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3、后排座椅应装有安全扶手。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整车采用铝合金扶手管，表面安装橡胶扶套，扶手套要求用螺钉固定确保不能滑动；扶手各连接部位的螺栓加保护套。整车直扶手采用弧形设计形式。直扶手与直扶手之间采用错距安装，最大限度地确保车厢内部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5、前乘客门仪表台区域应安装扶栏，保证驾驶员观察车辆右前方后视镜的视线。但不得影响前门的有效通道宽度。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6、靠窗座椅外侧应加装扶栏以保证安全。在符合国家标准的基础上，尽量扩大逃生出口面积。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7、乘客区应为站立乘客提供足够数量的扶手杆、拉手杆和广告式拉手；前挡风窗、前乘客门乘客站立处设置距地板90—110mm安全扶手杆，并符合GB/T13094中的有关要求。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在下客门配置翻盖式残疾人员专用导乘板，要求结构灵巧、固定方便、支撑锁止安全可靠、表面作防滑处理，设计满足相关国家标准；车厢内设置轮椅停放区，停放区域内设有下车门铃、扶手和轮椅固定装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9、车内前后尽量多的安装有线下车门铃，门铃声音大小符合日常需求，要求即按即响，并具有语音提示功能，同时在车内内视镜上方安装汉化型提示灯。</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后视镜和喇叭</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1、安装手动左短右长杆式倒车镜，配电除雾，设置开关且熄火后可自动切断，装可调节下视镜，支承牢固，车辆行驶时不应有明显的抖动，视野清晰。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2、安装双蜗牛电喇叭。</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3、安装可调节后视镜，不带时间、温度显示。</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后仓</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1、后仓应采用良好的隔热、隔振、阻燃、降噪音材料和阻燃灭火措施，要求能达到相关标准最高等级，开启通风良好，有利于散热。</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2、后仓区域内各类元器件、控制器布局合理，便于检修。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3、后仓内、后仓门合理安装加强防撞梁，做好防撞措施。</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4、后仓内合理安装灭火装置，要求符合国家JT/T 1240 标准。</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4"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空调系统</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1、配纯电动专用冷暖一体式车载空调，最大制冷量24000大卡以上，进口压缩机、冷凝风机和蒸发风机，冷凝器和蒸发器采用优质铜芯，进口干燥器和阀类、进口接插件，连接管路采用优质铜管。</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2、车厢冷风道采用全景式铝合金风道结构形式，方便拆洗和检修，同时需考虑驾驶区域出风量。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3、风道外观平顺美观，接口平整固定可靠，检修口设置合理、检修方便，开启、锁止方便可靠。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4、风道不得与前、后路牌窗贯通，表面平整圆顺，固定安装可靠。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5、在空调蒸发器出风口处的顶盖蒙皮设有防水止口，排水管布置必须合理，防止冷凝水入车内。</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6、空调机组安装牢固可靠，整机性能稳定，拆装清洁维护方便。前、后车厢及驾驶区各部温度均匀一致。风道内增设导流板，确保冷风有效引入车厢。</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空调推荐品牌：参照或相当于松芝或大冷王或精益。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服务系统</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1、多媒体报站器和下客门监视器釆用嵌入式。监视器安装在司机仪表台右侧，多媒体报站器安装在监视器下方立面处（斜置）。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前、后、侧牌采用全彩型可双语显示电子路牌，前后牌显示尺寸224mm×1344mm及以上，像素32×192；侧牌显示尺寸320mm×960mm，像素64×192及以上。字体可显示16点阵、24点阵、32点阵，路牌设有光感探头，可随外界亮度变化自动调节亮度，内容可以静止、滚动等多种方式显示，可显示图片、文本等，颜色可任意配置。侧牌可显示途径站点信息，后牌可显示转弯、刹车等信息。仪表台设有独立开关。（显示尺寸只作参考，具体需根据实际安装空间稍作调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3、车辆内部前端安装车内屏，要求字数最大化，红色，与报站器联动，显示当前站及下一站信息，也可显示相关文明用语信息。仪表台设有独立开关。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19寸车内广告机1只（具体位置由招标人确定），仪表台设置开关，要求广告机内容具有远程多媒体视频、图文发布功能，具有安全加密功能，阻止第三方篡改播放内容，同时能接入招标人现有集中发布平台。车厢内布置8只6″喇叭，左右间隔布置，4只用于多媒体站器，4只用于多媒体，并配置报站器专用外喇叭一只，同时由客车投标人配置喊话器及插座与报站器外喇叭连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5、在前门附近扶手立杆上设儿童身高限位标尺。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6、车内设置司机工具箱、车内外标识等服务设施，由招标人提供技术要求，投标人设计、安装。车头车尾安装“绍兴公交”标识。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载监控系统和调度终端统一安装在电子设备箱中，电子设备箱中必须有长电、ACC控制电源、总闸控制电源等三组电源线，以满足车载监控系统和调度终端需要。电子设备箱原则上安装在驾驶员座位后面。（车载监控系统上下客门及驾驶区域的监控装置安装位置由招标人确认后安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全景式铝合金风道司机正上方不带灯源，风道广告域窗口内容根据招标人实际需求确定。风道安装37寸（原装屏）的车内电子导乘屏1只（具体安装位置由招标人确认），与报站器联动，能自动生成线路及站点信息，进出站有特殊提示换么，清晰显示当前站及即将到达站信息；可通过WIFI连接网络，具有远程多媒体视频、图文等信息发布管理功能。电子导乘屏需安装牢固，风道内需安装加强筋固定；电子导乘屏区域扶手杆合理设置，不能遮挡电子导乘屏查看视线。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9、车辆设置司机左脚放置垫。</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10、系统集成：车载监控系统、调度终端、电子路牌、安全卫士、车门及倒车监视器均需和多媒体报站系统所连接，客车投标人负责线束及线路的制作设计、并调试。</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11、安装标配小型化智能电子投币机（配三个电子内胆），具有外箱电动开锁、内胆电动开锁、投币计数等功能，储币量要求达到600元以上；在投币机旁设POS机（预敷设IC卡POS机电源线，直接从蓄电池引出）。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12、设置语音提示功能，可调节音量可开关，车辆启动、转向、倒车、低速时有语音提醒播报功能，开关设置在仪表台上，车辆启动对内播报，车辆转向、倒车对外播报，低速声音报警可对内对外播报。</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13、车内座椅旁合理安装适当数量的USB充电接口。</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车载监控系统、调度终端、POS机、多媒体报站、安全卫士、电子路牌、车内屏、导乘屏由招标人提供型号及位置布置，车辆制造厂家负责安装调试。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车身涂装</w:t>
            </w:r>
          </w:p>
        </w:tc>
        <w:tc>
          <w:tcPr>
            <w:tcW w:w="5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车身颜色、图案、标识由投标人提供方案再经招标人确认。</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智能安全配置及安全设施</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1、要求配有电子驻车、制动防抱死装置（ABS）、上坡辅助（HSA）、驱动防滑（Y-ASR）、复合制动（CBS）、停车制动（AutoHold）、24小时电池监控系统、油门防误踩功能、充电多层安全防护装置等智能安全配置。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2、配BSD盲区检测系统：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（1）左右2路BSD告警，需自带RS232、RS485、CAN，LAN接口，支持高清影像无损记录功能，可本地化储存，支持512G SD卡扩展。预留外设扩展接口，能够与招标人监控平台有效对接，并可将告警信息进行有效上传。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（2）系统可识别行人/自行车/摩托车/电单车/三轮车/手推车等，支持多种行人姿态检测，如撑伞/站立/蹲坐等，系统需具备夜视功能，检测距离不低于20m，告警检出率不低于98%。</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（3）摄像头采用AHD接口，不低于1280x720分辨率，水平视场角不小于102±3°，垂直视场角不小于56±3°，支持宽动态，防水等级不低于IPX7。</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整套系统融合电子后视镜功能，可实现对马路牙子、公交站台、隔离带、隔离栅栏等边界进行识别划分出可行驶区域，并对可行驶区域外的行人进行告警过滤，分别将告警信息以声、光、图像形式显示在对应侧电子后视镜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子后视镜产品采用2块高清IPS显示屏（液晶屏≥12.3寸，分别装在车内左右两侧A柱）配4颗以上数字高感光防水摄像头。采用上下分屏结构，要求可显示两侧A柱盲区和前方盲区，亮度自动调节，具备夜间自动补光，防眩光功能。图像分辨率1280P以上，画面流畅，与车载视频监控主机对接存储；要求固定牢固，车辆正右前方及右侧视野清晰，安装位置不能遮挡车外倒车镜及乘客门，不影响驾驶员视野及日常行车安全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（6）盲区检测摄像头安装在车辆的尾部或后视镜位置，离地1.8~2.5m，由后往前看，能够对车辆左右内轮差盲区，A柱盲区，后视镜盲区进行有效检测报警。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整套系统厂家需管理体系通过IATF16949认证，及产品EMC证书。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3、安装车载新能源智慧终端，可监控、查询车辆实时状态和各类数据，支持多策略数据上传，预留数据通讯接口，可提供数据协议，能接入招标人管理平台，并可根据招标人实际需求免费更新升级。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4、车内驾驶区域安装车辆安全卫士。（具体布局按招标人习惯布置）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5、车厢内按国家JT/T1240标准安装标配危险气体报警装置。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6、整车侧窗左右两侧安装电动击窗器（爆破器），带翻盖报警功能，每车安装五处，左三右二，布置相关说明，以便在发生紧急情况时，可及时顺利逃生。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7、车内带压力表水基型4公斤灭火器4只（配筒式固定座）。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8、车厢内每扇车窗安装带钢丝及蜂鸣防盗安全锤（其中1把安装在驾驶室），并在车窗玻璃上根据国标要求注明安全锤敲击点及逃生窗口图示。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9、控制仓、电池仓、高压仓内合理安装自动灭火装置。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10、安装铝制安全提示牌（具体内容由招标人确定）。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11、配置驾驶员未系安全带提醒。</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注：以上各项如国家JT/T1240标准中有要求的，须按标准要求执行。</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其他</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1、随车工具：少于5辆车的赠送2套，之后每增加5辆车多赠送1套（不到5辆按5辆算）。</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2、随车资料。</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3、车内布置驾驶员茶杯支架、手机袋、证件盒。</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4、每车提供两套底盘号及电机号拓印，拓印件必须用铅笔和专用拓印纸进行拓印，字体清楚；</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5、后档无客车销售等广告；</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6、随车配三角警告牌。</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7、车内警示牌均要求采用铝制。</w:t>
            </w:r>
          </w:p>
          <w:p>
            <w:pPr>
              <w:keepNext w:val="0"/>
              <w:keepLines w:val="0"/>
              <w:widowControl/>
              <w:suppressLineNumbers w:val="0"/>
              <w:shd w:val="clear"/>
              <w:jc w:val="both"/>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8、本表未注明配置和质量必须符合国家及行业相关标准。</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1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质保要求</w:t>
            </w:r>
          </w:p>
        </w:tc>
        <w:tc>
          <w:tcPr>
            <w:tcW w:w="5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整车免费质保4年（含零部件），零部件质保以车辆出厂《保修手册》为基准与整车质保同比例提升（超出8年的按8年执行），例：车辆出厂《保修手册》中整车质保期限为24个月，雨刮片质保期限为3个月，以整车免费质保8年计算，雨刮片质保要求提升至96÷24×3=12个月，零部件质保已明确要求的除外。质保期限自车辆上完牌照后开始计算。</w:t>
            </w:r>
          </w:p>
          <w:p>
            <w:pPr>
              <w:keepNext w:val="0"/>
              <w:keepLines w:val="0"/>
              <w:widowControl/>
              <w:numPr>
                <w:ilvl w:val="0"/>
                <w:numId w:val="0"/>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纯电动系统电池组（含附属件）、BMS及电池组液冷系统、电池组灭火装置要求质保8年（含易损件、易耗件），质保期内日常的维护保养材料、人工等由投标人负责，同时投标人承诺提供每季度一次及重大节假日、重要活动对纯电动系统电池组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纯电动系统驱动电机及附属件要求质保8年（含易损件、易耗件），质保期内日常的维护保养材料、人工等由投标人负责，同时投标人承诺提供每季度一次及重大节假日、重要活动对纯电动系统驱动电机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4、电机冷却系统要求质保8年（含易损件、易耗件），质保期内日常的维护保养材料、人工等由投标人负责，同时投标人承诺提供定期及重大节假日、重要活动及按招标人要求对电机冷却系统的安全检查。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纯电动系统高压电控系统及附属件（包括但不限于高压配电柜、直流转换器、电动助力转向控制器、驱动电机控制器、空压机控制器）要求质保8年（含易损件、易耗件），质保期内日常的维护保养材料、人工等由投标人负责，同时投标人承诺提供每季度一次及重大节假日、重要活动纯电动系统高压控制器及附属件（包括但不限于高压配电柜、直流转换器、电动助力转向控制器、驱动电机控制器、空压机控制器）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6、电动打气泵要求质保8年（含易损件、易耗件），质保期内日常的维护保养材料、人工等由投标人负责，同时投标人承诺提供定期及重大节假日、重要活动及按招标人要求对电动打气泵的安全检查。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7、前后桥总成要求质保8年（含易损件、易耗件）。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8、空气悬架系统质保8年（含易损件、易耗件）。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9、免维护轮毂总成要求质保8年（含易损件、易耗件）。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10、电动液压转向系统(包括但不限于方向机、助力泵、电机、直流转换器)要求质保8年（含易损件、易耗件）。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11、底盘集中润滑系统要求质保8年（含易损、易耗件）。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12、制动系统刹车总成要求主体结构件质保8年、易损件质保3年或以上。同时还需出具如因刹车咬死、发热造成的相应部件（包括免维护轮毂）损坏，由投标人全额承担损失的承诺书。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13、铝合金轮辋要求质保8年（外力损伤除外）。</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14、胎压监测系统要求质保8年。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15、CAN总线（含仪表）要求质保8年。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16、低压锂电系统要求质保8年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17、车身车架防腐要求质保8年。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18、驾驶区防护隔离设施要求质保8年。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19、拖把及垃圾综合性储物箱要求质保8年。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20、车顶逃生窗要求质保8年。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21、PVC地板及地板革要求质保8年。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22、后视镜电除雾要求质保8年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23、乘客门总成（含门泵等，含易损、易耗件）要求质保8年。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24、座椅（含驾驶员座椅）要求质保8年。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25、铝合金扶手要求质保8年。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26、整车玻璃要求质保8年（含总成件、所属配件、易损件及工时）。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27、车载空调要求质保8年。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28、全景式铝合金风道要求质保8年。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29、车顶防漏要求质保8年。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30、电子路牌、车内屏要求质保8年。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31、电子导乘屏要求质保8年。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32、车内广告机要求质保8年。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33、电子投币机要求质保8年。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34、语音提示设备要求质保8年。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35、BSD盲区检测系统要求质保8年。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36、危险气体报警装置要求质保8年。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37、电动击窗器要求质保8年。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38、投标人投标时承诺控制仓、高压仓、电池仓自动灭火装置8年保质期内有效期到期前免费更换的承诺书。</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1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8328" w:type="dxa"/>
            <w:gridSpan w:val="3"/>
            <w:tcBorders>
              <w:top w:val="nil"/>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注：1、招标车辆技术要求有国家相关要求的，以国家最新标准要求为准。</w:t>
            </w:r>
          </w:p>
        </w:tc>
        <w:tc>
          <w:tcPr>
            <w:tcW w:w="1352"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28" w:type="dxa"/>
            <w:gridSpan w:val="3"/>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2、招标车辆技术要求如前后有冲突或与现实情况不相符，以招标人实际需求为准。</w:t>
            </w:r>
          </w:p>
        </w:tc>
        <w:tc>
          <w:tcPr>
            <w:tcW w:w="1352"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bl>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tbl>
      <w:tblPr>
        <w:tblStyle w:val="64"/>
        <w:tblW w:w="9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3"/>
        <w:gridCol w:w="2204"/>
        <w:gridCol w:w="5151"/>
        <w:gridCol w:w="1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标项二：名称：7米级纯电空调公交客车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数量：77辆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（一）招标车辆技术要求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1、整车性能要求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安装要求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必须是列入国家上牌目录的车型，客车整车性能必须符合国家GB7258《机动车运行安全条例》，GB13094《客车结构安全要求》GB 18384《电动汽车安全要求》、GB 38032《电动客车安全要求》等相关客车标准要求，以及卖方在投标书所明示达到的各项技术指标要求。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客车操作稳定性达到QC/T480《汽车操作稳定性指标限值与评价方法》标准要求。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客车密封性能达到QC/T476《客车防雨密封性限值》标准要求。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车辆安全装置应符合国家法规要求，车辆制动结构应符合GB12676汽车制动系统结构、性能和试验方法的有关规定。如发生安全事故时，经认定属供方责任的，按法律规定承担一切责任。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客车整车保温隔热材料，各类内饰部件和电器电线（包括电器接插件），阻燃与环保性能必须满足国家和行业相关标准要求。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客车采用优质成型矩形钢管焊接的骨架结构，方基调小圆角车身选型，超大视野的夹胶全景玻璃，结构紧凑，比例协调，线条流畅。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投标车型必须投标车型必须已进入国家汽车产品公告，在《免征车辆购置税的新能源汽车车型目录》及《享受车船税减免优惠的节约能源使用新能源汽车车型目录》内。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车辆各项安全设施配置功能和有关标志标示等必须符合国家JT/T 1240、JT/T 1241、CCCF/XFJJ-01、GB/T13094、GB8624、GB38262、JT/T1095、GB5845等标准要求。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3"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151"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52"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151"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52"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31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内  容</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技术参数及说明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长（mm）</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宽（mm）</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高（mm）</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最大额定人数</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标配座位数</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最高车速（km/h）</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总质量（kg）</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续驶里程（km）</w:t>
            </w:r>
          </w:p>
        </w:tc>
        <w:tc>
          <w:tcPr>
            <w:tcW w:w="65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8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注：1、续驶里程以国家汽车质量监督检测中心出具的检测报告（整车产品定型）和工信部发布的新能源汽车车辆购置税减免车型目录为依据；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2、整车参数及车辆名称、车辆外观以投标车辆公告为准。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3、整车技术配置需求：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技术配置要求</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电池系统</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▲1、采用优质磷酸铁锂电池，电量不低于165kWh（电池容量以国家汽车质量监督检测中心出具的检测报告（整车产品定型）为依据）；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★2、电芯与电池系统为同一电池生产企业；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池具备1C倍率充电至80%SOC的能力，在质保期内应委托电池制造厂执行专业规范的电池定期维保服务，包括安全检查、性能检测、电池均衡保养等，并对有故障的电池进行处理，在质保期内电池组电量衰减超过15%予以免费技术处理，8年内电池组电量衰减不超过总电量的20%，否则投标人无条件免费更换同品牌全新电池（电池容量衰减由专业第三方检测机构进行检测，检测费用由投标人承担）。一次充满电后，在预留20%电量、在绍兴地区综合路况的情况下，空调开启制冷模式或开启制暖模式、车辆满载情况下实际续驶里程≥250k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4、单位载质量能量消耗量：Ekg≤0.18（投标人提供依据）；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5、电池成组能量密度≥160Wh/kg（能量密度指成组后能量密度，非单体电池能量密度，电池厂家及客车投标人家必须提供真实数据，并提供国家汽车质量监督检测中心出具的检测报告（整车产品定型）依据）；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6、配备电池管理系统(BMS)，管理功能如下：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1）具有电池温度、电压、电流、电量的监控功能及加热控制、电池故障分析与在线报警，采用主动均衡技术，满足各种工况要求。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2）为保证车辆收车或长期停放过程中电池系统安全，电池系统要求具备24小时监控系统。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3）满足国家充电技术要求,充电插口必须是国标。具备未拔充电枪车辆不能起步功能、拔枪时灭弧功能。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4）电池管理系统免费质保期不少于8年。电池管理系统要符合国家标准，系统要提供免费升级更新。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5）储存车辆VIN码等相关信息，以使招标人充电桩在车辆充电过程中可读取车辆VIN码等信息，并可与招标人公交车智能充电管理系统进行免费对接；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7、电池安全：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（1）每个电池组内部均串联有保险，在电池失效时可及时断开，配置绝缘监测模块，实时监测每箱电池的绝缘状况，保证电池系统的高压安全。有高压熔断装置（手动及自动两种控制方式）；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动力电池具有防碰撞保护装置并确保电池舱发生碰撞后符合国家标准。电池与整车隔离，绝缘、防火隔热设计，电池仓与客舱之间铺设防火隔热材料，符合GB8624标准“阻燃性能等级，A级不燃”；多重熔断保护，整车高压分级预警系统，高压快断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电池箱专用灭火装置，具有热失控预警、火灾报警及火灾抑制等功能的灭火装置，电池箱灭火装置应具有温度传感器、气体分解传感器、烟雾传感器并能实现电解液漏液自动检测报警，在监测到储能装置热失控和火情状况时，以声光报警信号向驾驶员报警。电池箱灭火装置采用投标厂家标配，且需得到选用电池生产制造的安装许可，同时由权威消防研究中心对该产品的试验报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8、电池组冷却系统采用内置空调集成液冷模式，冷却系统风扇电机为进口无刷电机，带进口循环水泵，并接入CAN总线具有提示功能；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9、电池布置形式：电池合理布置，做好车辆重量重心的均衡分布，电池安装位置不低于国家标准，满足涉水深度要求；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防护等级：电池箱、信号连接器不低于国家标准，防水、防尘等级达到IP67或以上的防护等级，满足雨雪天气运营需求及车辆的涉水安全，须提供国家认可检测机构出具的检测报告。具有电池热管理功能，须在冬季可保证有效的充电效率，不得出现冬季低温车辆无法充电情况。动力电池具有良好的防火及散热性能，防止夏季出现高温现象，保证良好的高低温工作性能。动力电池充分考虑绍兴地区的气温变化（适应冬夏温度范围），安装必须散热、防水，并具备极端天气时，自我保护功能和安全提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11、动力电池企业售后服务能力通过国家标准GB/T27922-2011《商品售后服务评价体系》认证并获得五星及以上级别的证书，须提供证明文件。</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动力电池回收处理：投标人必须根据国家相关政策和环保法规对维修、更换及车辆报废时的废旧动力电池（含维修费用）进行免费环保回收（车辆报废时，国家或地方相关法律法规政策及车辆报废回收单位有专门要求的除外），招标人保留动力电池的最终处理权。招标人根据车辆使用报废情况通知投标人，投标人应在接到通知30日内对动力电池进行回收处理并提供环保处理证明。投标人出具相关承诺书。</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驱动电机</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▲1、采用集成式电驱桥（含轮边驱动）。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2、采用水冷永磁同步电机，电机峰值功率≥180KW；（以国家汽车质量监督检测中心出具的检测报告（整车产品定型）以及相关车桥示意图等资料为依据）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3、无级变速，驱动电机具备辅助制动功能，同时具有能量回收功能；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4、电机防护等级：IP67或以上防护等级；</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5、电机冷却系统采用厂家标配电子智能冷却控制系统，标配水箱、进口无刷风机；</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整车高压部件控制器</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1、高压电控系统均采用优质控制器，要求控制器高度集成，尽量减少高压连接点；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高压配电箱采用集中配电方式，具有多路保护电路，内置高压接触器、高压熔断器、绝缘检测板等；须匹配MSD开关，保证维护安全；须具有高压互锁功能，保证在突发情况或故障时，能够断开高压；须内置预充电路；须内置绝缘检测电路，具有漏电保护功能；须具有充电保护电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3、车辆操作时杜绝系统发生与操作不符导致车辆失控的情况，突发高压掉断电时仍可以确保转向操作，不得出现突发断电导致方向失控或锁死现象。</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4、整车采用耐高温的辐照阻燃电动车专用电缆，具有屏蔽层，各高压系统具有电磁干扰认证，各高压部件之间不可互相干扰。</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底盘</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▲1、采用集成式电驱桥（含轮边驱动）。前桥轴荷4000kg及以上，后桥轴荷5000kg及以上。（以车型公告以及相关车桥示意图等资料为依据）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2、采用适合纯电模式驱动的后桥总成，冲压焊接整体式桥壳，差速器总成单级主减速器、主减速齿精磨加工。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悬挂：采用厂家标配空气悬挂系统，配装进口气囊和进口减震器，空气悬挂系统承载能力必须满足城市公交运营线路实际超载要求，平衡杆及连接支架在使用周期内出现断裂等现象，其责任全部由客车投标人承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4、轮毂采用进口一体化轴承单元免维护（免维护轮毂总成）。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制动系统：采用厂家标配前后盘式制动，制动灵敏，具有良好的操作稳定性和可靠性；配双回路气制动系统，配带制动阀、回路保护阀、前后继动阀、差动继动阀、冷凝器、空气干燥器。制动系统阀类、ABS均使用进口品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6、驻车制动：采用双回路气制动系统，驻车制动采用手控操纵储能弹簧制动，作用于后轮，增设有解除驻车制动控制气路与接口。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7、转向系统：采用厂家标配电动液压转向助力系统，转向助力泵与转向器要匹配。</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8、配置投标人标配无油活塞电动打气泵。</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9、液管路：管路采用优质聚氨酯增强型软管及耐油胶管。管路系统按标准进行保压泄露测试，符合要求，与电线束和油水管分别布置。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气管路：空压机至冷凝器管路采用优质铜管、其余部分亚太管，并根据不同功能采用不同颜色管路进行区分，便于后期维护保养。管路各接口连接可靠，不凹瘪、不扭曲、不坠挂，在车辆运动中不碰擦其它零部件或因抖动出现断裂。管路弯曲或与车身接近部位必须采用固定支架（中间增加防磨损胶垫圈）进行固定，固定间距不得大于600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11、贮气筒容量：贮气筒总容量满足整车实际需求及公交线路实际使用需求，耐腐蚀。储气筒放水开关采用智能自动放水。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12、配装底盘集中润滑系统，需实现远程监控功能，加入CAN总线，智能ECU液晶监控，具有计数、油压、运行、故障报警、故障诊断等功能,可接入招标人统一的管理平台。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13、采用铝合金轮辋，真空胎轮胎。（每一辆带一个加轮辋备胎配胎压监测）配标配胎压监测系统，胎压监测系统可接入招标人统一的管理平台。配轮胎螺丝防松扣。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14、制动低压报警：设有灯光指示报警和声响报警。</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各类管路（包括各类滤清器）不得与电器和电线、以及客车其它运动部件发生干涉和碰擦，所有管路线束等不得布置在底架下方（不得低于底架平面）。电线束、气管必须分列敷设，不得混扎一起，便于维修检查。</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一、前、后桥推荐品牌：参照或相当于东风德纳桥或方盛或ZF。</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二、轮胎推荐品牌：参照或相当于佳通或倍耐力或米其林或普利司通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电器系统</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1、全车线路控制采用三级CAN总线，连接各类控制系统及传感器，底盘部分接制动气路、集中润滑控制，车身部分接上下客门、除霜机、空调、灯光、仪表、喇叭、倒车监视等控制，CAN总线必须提供485输出接口。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2、整车集中配电板安装在防水、防潮、防尘及便于检修的安全位置。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配备低压锂电池系统，符合GB38032《电动客车安全要求》。蓄电池仓必须单独设立，与控制盒等电器元件完全隔绝，并与车身具有密封结构，采用推拉或旋转式安装支架，底座留有排水孔；蓄电池架要求旋转或推拉方便，固定锁止可靠，易于清洁和维护；总电源开关在充电口附近单独设计小门，方便充电时断开电源总开关，提高充电安全性与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器线路：整车电器、电器线路、接插件和熔断器必须符合国家相关标准要求。所有电线采用耐高温（125℃）、辐照交联阻燃型电线，底盘电线和电线束外加套阻燃波纹管，所有电线接插件采用进口产品（底盘部分要求防水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5、电线和电线束走向及安装应规范，布置整齐，接头牢固并有绝缘护套，电线和线束每隔250-300 mm安装固定扣攀。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线和电线束不得与客车其它零部件发生碰擦，并避开发热零部件。电线和电线束与车身接触处用阻尼胶固定，电线和电线束穿越孔洞时必须装设防磨损胶垫圈和绝缘护套，进入车身的暗线必须加套阻燃绝缘管安装并可靠固定，整车电线主线部分不得采用拼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7、车辆前部（仪表台附近）电器线路需预留部分备用线路或接线柱，并且接线柱或插接件前端有保险装置。以备车辆增加临时用电器的需求。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8、灯光、照明装置，信号装置、开关的布置符合相关法规的要求。前后灯具维护方便，安全可靠，具有角度可调装置。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9、车厢顶部示宽灯采用内嵌式，车内上下踏步灯安装在踏步内。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10、车厢内灯采用铝合金全景风道内置LED灯源，前后贯通，厢灯采用三档分段交叉控制。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11、采用一体式仪表系统，在仪表显示面板上要有故障“闪码”显示功能。驻车制动气压指示应与后轮制动气压指示的仪表应在同一仪表里显示。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12、CAN总线控制模块的安装必须满足防尘、防水、防静电的要求。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13、安装可打印式行车记录仪。</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专用线路：IC卡POS机、多媒体报站器、车载监控系统、调度终端、安全卫士、客门(倒车)监视器电源线路采用双线制，要求焊接专用接地线，并配接线排，确保安全可靠，电源从主配电板单独接入，并独立安装保险丝。IC卡POS机电源线、调度终端、车载监控电源为总闸控制电源，其余电器均以仪表总开关控制电源。 </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底架</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1、车辆纵梁和车身骨架应有足够的强度，抗扭、抗弯性能好。充分考虑城市公交车辆实际超载运行的特殊要求，以及绍兴路桥高低落差大的道路条件。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2、底骨架焊接处应有两次防腐处理。下表面应防石击漆涂处理。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3、前后桥轮毂区域应有两层密封防腐处理。保证骨架不外露。</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4、在前、后桥附近底部空间，应根据车辆底架结构特点，设置承重梁。在车身左右侧设有多个支车点，并设置支车点标记。</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车辆纵梁前部适当位置应设置拖钩，拖钩及连接部位骨架、连接方式应满足车辆拖动施救的需求，要求使用方便，拖拉固定可靠。同时纵梁前部区域的各类管路、线束的布置应充分考虑拖车时的运动干涉，以免损坏。</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1、车身骨架采用高强度优质矩形钢管拼焊，整车采用阴极电泳防腐（车身及底盘）工艺或采用铝合金车身，并保证8年以上不锈蚀，充分考虑绍兴地区的潮湿性气候的特点。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2、整车防漏水、漏灰及密封性能良好。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3、车身外侧：采用涨拉蒙皮结构，顶盖蒙皮之间的连接采用搭接方式，侧围蒙皮之间的连接采用对接方式。蒙皮采用优质耐腐镀锌钢板（厚度不小于1 mm），全部蒙皮均经过除污、防锈、磷化处理或选用已做防腐处理的板材。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4、骨架与蒙皮、骨架与地板等接合缝处采用聚氨脂密封胶进行密封防水防锈处理。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5、车身顶棚骨架间距不大于900mm。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6、前后门骨架及上方应加强，必要时加焊加强铁板、厚度不小于3mm。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客车整车采用聚氨酯发泡进行隔热处理。所有隔热填充材料必须符合国家相关标准要求，具有安全、环保、阻燃和无异味等性能，阻燃性能要求能达到相关标准最高等级。车身骨架间聚氨脂发泡厚度不得小于30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8、车厢内侧板采用优质硬性低发泡型PVC板材。内顶板采用打孔型铝塑板，颜色与空调风道、前后围内饰板的颜色一致或相近。内顶板与空调风道、回风窗等各部位接口应确保安装牢固、接口平整无缝隙。</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身左右侧边门采用铝合金材料、翻开式，开启角度不低于150°，机械锁和液压支撑杆检修门结构，并装有胶垫防震、检修门铰链。要求舱门美观牢固，开启方便，锁止可靠，门与车身蒙皮缝隙均匀，液压撑杆支撑力要满足支撑检修门要求，确保安全稳定，在侧围检修门和客车骨架之间增装保险绳（挂钩或钢丝绳或链）。为方便雨刷器等部件的检修与拆装，客车前围为开启式前围，提高维保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10、凡需检修的部位都应开设工作门或检修窗。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驾驶区、仪表台：按照国家JT/T1241标准安装驾驶区防护隔离设施，仪表台和仪表与开关、监视器、报站器布置要方便司机操作使用，顶灯、车厢灯、电子路牌单独安装开关，不常用的操纵开关可布置在司机左侧；仪表台上安装驾驶员喊话器及插口；前后门未关时仪表台有报警灯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12、驾驶室安装带锁证件箱，配置茶杯架；驾驶室不安装收音机；驾驶员左上侧安装电扇（小风扇）。</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13、乘客可触及的车身内外部件、构件都不应有尖角和锐边；乘客门上面的导水槽不应有尖角和锐边，以免影响自动洗车机。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14、安装隐藏式拖把箱及分类垃圾桶。（由中标人提供样式，招标人确认）</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15、车厢安装一只车顶逃生窗。确保密闭性良好，不漏水。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16、车身油漆采用进口或投标人标配油漆。</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地板</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采用大平面环保阻燃PVC地板，阻燃性能要求能达到相关标准最高等级，厚度不小于18MM，地板与客车底架采用胶水及专用螺栓连接，铺设区客车底架横梁加密、地板及座椅固定螺栓要求连接在横梁或替板上、紧固可靠（8年内不发生地板拱起，螺栓松脱开现象），地板各连接缝、地板与车身的接缝处应涂密封胶。整车采用厂家标配耐磨防滑石英沙城市客车专用地板革，地板与地板革采用进口高强度防水专用地板革胶粘接，做到不脱胶、不起泡、不开裂。地板革与地板是采用焊接拼接，接缝处剔割平整。前后乘客门踏步区域采用黄色踏步专用地板革，应有“站立禁区”字样。</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2、地板应设有检修孔和盖板，方便维修。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3、整车采用一级踏步制式，站立区为没有台阶的单一平面区。</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车厢内各阴阳角拼缝处采用铝合金型材拼压或地板革焊接工艺，直角拼缝处采用磨光45°对接，圆弧拼缝处则可采用成型或锯齿状弯曲拼压，确保拼压平整贴服，地板革折边高于地板水平面10CM以上，车身围板下沿采用15cm不锈钢板围裙踢脚。</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门窗及玻璃</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1、车门为厂家标配内摆式前单后双型乘客门，加强型铝合金门板，门玻璃为钢化玻璃，乘客门下带防夹脚设置。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2、乘客门关闭时应装有气囊防夹缓冲装置。乘客门在开启状况时，门外缘距车身外缘不大于100 mm，门轴应装防护装置并设置铝制铆钉固定的防夹提示牌。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3、为确保安全性，设置开门信号灯，只有在门都关好的情况下，信号灯才关闭，车辆才可启动，该信号灯为左右危险信号灯；车速达到5码以上车门不能打开。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4、全车应有门锁装置。各类锁具（除上下客门锁）要求规格统一，为了便于日常管理要求所有锁具可由统一的一把钥匙（三角锁）打开。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5、门泵驱动系统采用电控气动方式，门泵自带控制器，在仪表台适当位置设置乘客门应急打开气动控制阀开关，并在每个乘客门内外处和车外必须装紧急开关，以备紧急使用；门泵带自动气水分离装置。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6、边窗玻璃：粘贴式内藏推拉窗，推拉窗部分尽量大。边窗玻璃采用纳米隔热工艺，透光率51%，有明显隔热隔光玻璃标识。符合GB 9656-2021《机动车玻璃安全技术规范》的要求，左侧第一扇驾驶室窗玻璃为高透光玻璃，玻璃的可见光透射比应不小于95%，可见光反射比应不大于1.5%，前半扇可移动，后半扇固定；右侧安装路牌处对应部分玻璃为透明。玻璃和侧窗与车身骨架采用原装进口粘合胶粘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7、前挡风玻璃：整体式全景夹胶安全玻璃。后挡风玻璃：整体式钢化安全玻璃。挡风玻璃涂黑部分尺寸必须满足后视镜视角和电子路牌显示要求。雨刮器刮刷面积满足驾驶员视野需求。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8、驾驶座左、前方安装下拉式活动遮阳帘。</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座椅及扶手杆</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1、座椅布置为：要求座椅最大化安装。座椅布置由投标人提供布置图，招标人选择。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2、座椅防滑、易清洁、乘坐舒适。安装橙色照顾座椅，并安装爱心标识；安装军人专座。具体数量和位置由招标人确定。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3、后排座椅应装有安全扶手。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整车采用铝合金扶手管，表面安装橡胶扶套，扶手套要求用螺钉固定确保不能滑动；扶手各连接部位的螺栓加保护套。整车直扶手采用弧形设计形式。直扶手与直扶手之间采用错距安装，最大限度地确保车厢内部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5、前乘客门仪表台区域应安装扶栏，保证驾驶员观察车辆右前方后视镜的视线。但不得影响前门的有效通道宽度。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6、靠窗座椅外侧应加装扶栏以保证安全。在符合国家标准的基础上，尽量扩大逃生出口面积。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7、乘客区应为站立乘客提供足够数量的扶手杆、拉手杆和广告式拉手；前挡风窗、前乘客门乘客站立处设置距地板90—110mm安全扶手杆，并符合GB/T13094中的有关要求。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在下客门配置翻盖式残疾人员专用导乘板，要求结构灵巧、固定方便、支撑锁止安全可靠、表面作防滑处理，设计满足相关国家标准；车厢内适当位置合理设置轮椅停放区，停放区域内设有下车门铃、扶手和轮椅固定装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9、车内前后尽量多的安装有线下车门铃，门铃声音大小符合日常需求，要求即按即响，并具有语音提示功能，同时在车内内视镜上方安装汉化型提示灯。</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后视镜和喇叭</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1、安装手动左短右长杆式倒车镜，配电除雾，设置开关且熄火后可自动切断，装可调节下视镜，支承牢固，车辆行驶时不应有明显的抖动，视野清晰。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2、安装双蜗牛电喇叭。</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3、安装可调节后视镜，不带时间、温度显示。</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后仓</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1、后仓应采用良好的隔热、隔振、阻燃、降噪音材料和阻燃灭火措施，要求能达到相关标准最高等级，开启通风良好，有利于散热。</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2、后仓区域内各类元器件、控制器布局合理，便于检修。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3、后仓内、后仓门合理安装加强防撞梁，做好防撞措施。</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4、后仓内合理安装灭火装置，要求符合国家JT/T 1240 标准。</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空调系统</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1、配纯电动专用冷暖一体式车载空调，最大制冷量18000大卡以上，进口压缩机、冷凝风机和蒸发风机，冷凝器和蒸发器采用优质铜芯，进口干燥器和阀类、进口接插件，连接管路采用优质铜管。</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2、车厢冷风道采用全景式铝合金风道结构形式，方便拆洗和检修，同时需考虑驾驶区域出风量。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3、风道外观平顺美观，接口平整固定可靠，检修口设置合理、检修方便，开启、锁止方便可靠。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4、风道不得与前、后路牌窗贯通，表面平整圆顺，固定安装可靠。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5、在空调蒸发器出风口处的顶盖蒙皮设有防水止口，排水管布置必须合理，防止冷凝水入车内。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6、空调机组安装牢固可靠，整机性能稳定，拆装清洁维护方便。前、后车厢及驾驶区各部温度均匀一致。风道内增设导流板，确保冷风有效引入车厢。</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7、安装电除霜装置，驾驶员处有出风口，便于驾驶员脚部取暖。</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空调推荐品牌：参照或相当于松芝或大冷王或精益。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服务系统</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多媒体报站器和下客门监视器釆用嵌入式。监视器安装在司机仪表台右侧，多媒体报站器安装在监视器下方立面处（斜置），调度终端、POS机的位置、线束预留，设备由招标人提供，投标人负责安装、调试，确保正常使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前、后、侧牌采用全彩型可双语显示电子路牌，前后牌显示尺寸224mm×1344mm及以上，像素32×192；侧牌显示尺寸320mm×960mm，像素64×192及以上。字体可显示16点阵、24点阵、32点阵，路牌设有光感探头，可随外界亮度变化自动调节亮度，内容可以静止、滚动等多种方式显示，可显示图片、文本等，颜色可任意配置。侧牌可显示途径站点信息，后牌可显示转弯、刹车等信息。仪表台设有独立开关。（显示尺寸只作参考，具体需根据实际安装空间稍作调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3、车辆内部前端安装车内屏，要求字数最大化，红色，与报站器联动，显示当前站及下一站信息，也可显示相关文明用语信息。仪表台设有独立开关。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19寸车内广告机1只（具体位置由招标人确定），仪表台设置开关，要求广告机内容具有远程多媒体视频、图文发布功能，具有安全加密功能，阻止第三方篡改播放内容，同时能接入招标人现有集中发布平台。车厢内布置8只6″喇叭，左右间隔布置，4只用于多媒体站器，4只用于多媒体，并配置报站器专用外喇叭一只，同时由客车投标人配置喊话器及插座与报站器外喇叭连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5、在前门附近扶手立杆上设儿童身高限位标尺。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6、车内设置司机工具箱、车内外标识等服务设施，由招标人提供技术要求，投标人设计、安装。车头车尾安装“绍兴公交”标识。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载监控系统和调度终端统一安装在电子设备箱中，电子设备箱中必须有长电、ACC控制电源、总闸控制电源等三组电源线，以满足车载监控系统和调度终端需要。电子设备箱原则上安装在驾驶员座位后面。（车载监控系统上下客门及驾驶区域的监控装置安装位置由招标人确认后安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全景式铝合金风道司机正上方不带灯源，风道广告域窗口内容根据招标人实际需求确定。风道安装37寸（原装屏）的车内电子导乘屏1只（具体安装位置由招标人确认），与报站器联动，能自动生成线路及站点信息，进出站有特殊提示换么，清晰显示当前站及即将到达站信息；可通过WIFI连接网络，具有远程多媒体视频、图文等信息发布管理功能。电子导乘屏需安装牢固，风道内需安装加强筋固定；电子导乘屏区域扶手杆合理设置，不能遮挡电子导乘屏查看视线。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9、车辆设置司机左脚放置垫。</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10、系统集成：车载监控系统、调度终端、电子路牌、安全卫士、车门及倒车监视器均需和多媒体报站系统所连接，客车投标人负责线束及线路的制作设计、并调试。</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标配小型化智能电子投币机（配三个电子内胆），具有外箱电动开锁、内胆电动开锁、投币计数等功能，储币量要求达到600元以上；在投币机旁设POS机杆（预敷设IC卡POS机电源线、信号线、支架，直接从蓄电池引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12、设置语音提示功能，可调节音量可开关，车辆启动、转向、倒车、低速时有语音提醒播报功能，开关设置在仪表台上，车辆启动对内播报，车辆转向、倒车对外播报，低速声音报警可对内对外播报。</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13、车内座椅旁合理安装适当数量的USB充电接口。</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车载监控系统、多媒体报站、安全卫士、电子路牌、车内屏、导乘屏由招标人提供型号及位置布置，车辆制造厂家负责安装调试。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车身涂装</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车身颜色、图案、标识由投标人提供方案再经招标人确认。</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智能安全配置</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1、要求配有电子驻车、制动防抱死装置（ABS）、上坡辅助（HSA）、驱动防滑（Y-ASR）、复合制动（CBS）、停车制动（AutoHold）、24小时电池监控系统、油门防误踩功能、充电多层安全防护装置等智能安全配置。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配电子后视镜系统：车内右A柱上单侧安装12.3寸电子后视镜；采用上下分屏结构，要求可显示两侧A柱盲区和前方盲区，亮度自动调节，具备夜间自动补光，防眩光功能。采用车规级操作系统，冷启动速度≤2秒，图像分辨率1280P以上，画面流畅，帧数≥50桢，延迟≤60毫秒，与车载视频监控主机对接存储；要求固定牢固，车辆正右前方及右侧视野清晰，安装位置不能遮挡车外倒车镜及乘客门，不影响驾驶员视野及日常行车安全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360°全景环视系统，该系统由全景环视主机及环视摄像机组成的影像式行车安全辅助系统，能够利用安装的摄像头获取影像，通过成熟的算法处理，输出全景环视图像，并接入到车载监控系统，同时能在车载监控屏中显示，该系统须与招标人集中监控平台实现无缝对接，能在集中监控平台中进行预览、回放等操作。</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4、安装车载新能源智慧终端，可监控、查询车辆实时状态和各类数据，支持多策略数据上传，预留数据通讯接口，可提供数据协议，能接入招标人管理平台，并可根据招标人实际需求免费更新升级。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5、车内驾驶区域安装车辆安全卫士。（具体布局按招标人习惯布置）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6、车厢内按国家JT/T1240标准安装标配危险气体报警装置。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7、整车侧窗左右两侧安装电动击窗器（爆破器），带翻盖报警功能，每车安装五处，左三右二，布置相关说明，以便在发生紧急情况时，可及时顺利逃生。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8、车内带压力表水基型4公斤灭火器4只（配筒式固定座）。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9、车厢内每扇车窗安装带钢丝及蜂鸣防盗安全锤（其中1把安装在驾驶室），并在车窗玻璃上根据国标要求注明安全锤敲击点及逃生窗口图示。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10、控制仓、电池仓、高压仓内合理安装自动灭火装置。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11、安装铝制安全提示牌（具体内容由招标人确定）。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12、配置驾驶员未系安全带提醒。</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注：以上各项如国家JT/T1240标准中有要求的，须按标准要求执行。</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其他</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1、随车工具：少于5辆车的赠送2套，之后每增加5辆车多赠送1套（不到5辆按5辆算）。</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2、随车资料。</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3、车内布置驾驶员茶杯支架、手机袋、证件盒。</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4、每车提供两套底盘号及电机号拓印，拓印件必须用铅笔和专用拓印纸进行拓印，字体清楚；</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5、后档无客车销售等广告；</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6、随车配三角警告牌。</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7、车内警示牌均要求采用铝制。</w:t>
            </w:r>
          </w:p>
          <w:p>
            <w:pPr>
              <w:keepNext w:val="0"/>
              <w:keepLines w:val="0"/>
              <w:widowControl/>
              <w:suppressLineNumbers w:val="0"/>
              <w:shd w:val="clear"/>
              <w:jc w:val="both"/>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8、本表未注明配置和质量必须符合国家及行业相关标准。</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22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质保要求</w:t>
            </w:r>
          </w:p>
        </w:tc>
        <w:tc>
          <w:tcPr>
            <w:tcW w:w="51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免费质保4年（含零部件），零部件质保以车辆出厂《保修手册》为基准与整车质保同比例提升（超出8年的按8年执行），例：车辆出厂《保修手册》中整车质保期限为24个月，雨刮片质保期限为3个月，以整车免费质保8年计算，雨刮片质保要求提升至96÷24×3=12个月，零部件质保已明确要求的除外。质保期限自车辆上完牌照后开始计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纯电动系统电池组（含附属件）、BMS及电池组液冷系统、电池组灭火装置要求质保8年（含易损件、易耗件），质保期内日常的维护保养材料、人工等由投标人负责，同时投标人承诺提供每季度一次及重大节假日、重要活动对纯电动系统电池组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纯电动系统驱动电机及附属件要求质保8年（含易损件、易耗件），质保期内日常的维护保养材料、人工等由投标人负责，同时投标人承诺提供每季度一次及重大节假日、重要活动对纯电动系统驱动电机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4、电机冷却系统要求质保8年（含易损件、易耗件），质保期内日常的维护保养材料、人工等由投标人负责，同时投标人承诺提供定期及重大节假日、重要活动及按招标人要求对电机冷却系统的安全检查。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纯电动系统高压电控系统及附属件（包括但不限于高压配电柜、直流转换器、电动助力转向控制器、驱动电机控制器、空压机控制器）要求质保8年（含易损件、易耗件），质保期内日常的维护保养材料、人工等由投标人负责，同时投标人承诺提供每季度一次及重大节假日、重要活动纯电动系统高压控制器及附属件（包括但不限于高压配电柜、直流转换器、电动助力转向控制器、驱动电机控制器、空压机控制器）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6、电动打气泵要求质保8年（含易损件、易耗件），质保期内日常的维护保养材料、人工等由投标人负责，同时投标人承诺提供定期及重大节假日、重要活动及按招标人要求对电动打气泵的安全检查。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7、前后桥总成要求质保8年（含易损件、易耗件）。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8、空气悬架系统质保8年（含易损件、易耗件）。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9、免维护轮毂总成要求质保8年（含易损件、易耗件）。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10、电动液压转向系统(包括但不限于方向机、助力泵、电机、直流转换器)要求质保8年（含易损件、易耗件）。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11、底盘集中润滑系统要求质保8年（含易损、易耗件）。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12、制动系统刹车总成要求主体结构件质保8年、易损件质保3年或以上。同时还需出具如因刹车咬死、发热造成的相应部件（包括免维护轮毂）损坏，由投标人全额承担损失的承诺书。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13、铝合金轮辋要求质保8年（外力损伤除外）。</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14、胎压监测系统要求质保8年。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15、CAN总线（含仪表）要求质保8年。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16、低压锂电系统要求质保8年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17、车身车架防腐要求质保8年。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18、驾驶区防护隔离设施要求质保8年。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19、拖把及垃圾综合性储物箱要求质保8年。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20、车顶逃生窗要求质保8年。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21、PVC地板及地板革要求质保8年。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22、后视镜电除雾要求质保8年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23、乘客门总成（含门泵等，含易损、易耗件）要求质保8年。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24、座椅（含驾驶员座椅）要求质保8年。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25、铝合金扶手要求质保8年。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26、侧窗玻璃要求质保8年（含总成件、所属配件、易损件及工时）。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27、车载空调要求质保8年。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28、全景式铝合金风道要求质保8年。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29、车顶防漏要求质保8年。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30、除霜装置要求质保8年。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31、电子路牌、车内屏要求质保8年。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32、电子导乘屏要求质保8年。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33、车内广告机要求质保8年。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34、电子投币机要求质保8年。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35、语音提示设备要求质保8年。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36、电子后视镜系统要求质保8年。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37、360°全景环视系统要求质保8年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38、危险气体报警装置要求质保8年。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39、电动击窗器要求质保8年。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40、投标人投标时承诺控制仓、高压仓、电池仓自动灭火装置8年保质期内有效期到期前免费更换的承诺书。</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2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注：1、招标车辆技术要求有国家相关要求的，以国家最新标准要求为准。</w:t>
            </w:r>
          </w:p>
        </w:tc>
        <w:tc>
          <w:tcPr>
            <w:tcW w:w="1352"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48" w:type="dxa"/>
            <w:gridSpan w:val="3"/>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2、招标车辆技术要求如前后有冲突或与现实情况不相符，以招标人实际需求为准。</w:t>
            </w:r>
          </w:p>
        </w:tc>
        <w:tc>
          <w:tcPr>
            <w:tcW w:w="1352"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bl>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tbl>
      <w:tblPr>
        <w:tblStyle w:val="64"/>
        <w:tblW w:w="97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4"/>
        <w:gridCol w:w="2196"/>
        <w:gridCol w:w="5155"/>
        <w:gridCol w:w="1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标项三：名称：6米级纯电空调公交客车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 数量：8辆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（一）招标车辆技术要求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1、整车性能要求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8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安装要求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必须是列入国家上牌目录的车型，客车整车性能必须符合国家GB7258《机动车运行安全条件》，GB13094《客车结构安全要求》GB 18384《电动汽车安全要求》、GB 38032《电动客车安全要求》等相关客车标准要求，以及投标人在投标书所明示达到的各项技术指标要求。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客车操作稳定性达到QC/T480《汽车操作稳定性指标限值与评价方法》标准要求。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客车密封性能达到QC/T476《客车防雨密封性限值》标准要求。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车辆安全装置应符合国家法规要求，车辆制动结构应符合GB12676汽车制动系统结构、性能和试验方法的有关规定。如发生安全事故时，经认定属投标人责任的，按法律规定承担一切责任。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客车整车保温隔热材料，各类内饰部件和电器电线（包括电器接插件），阻燃与环保性能必须满足国家和行业相关标准要求。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客车采用优质成型矩形钢管焊接的骨架结构，方基调小圆角车身选型，超大视野的夹胶全景玻璃，结构紧凑，比例协调，线条流畅。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投标车型必须投标车型必须已进入国家汽车产品公告，在《免征车辆购置税的新能源汽车车型目录》及《享受车船税减免优惠的节约能源 使用新能源汽车车型目录》内。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70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车辆各项安全设施配置功能和有关标志标示等必须符合国家JT/T 1240、JT/T 1241、CCCF/XFJJ-01、GB/T13094、GB8624、GB38262、JT/T1095、GB5845等标准要求。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994"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165"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63"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94"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165"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63"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内容</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技术参数及说明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长（mm）</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6500±100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宽（mm）</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高（mm）</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最大额定人数</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标配座位数</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最高车速（km/h）</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总质量（kg）</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续驶里程（km）</w:t>
            </w:r>
          </w:p>
        </w:tc>
        <w:tc>
          <w:tcPr>
            <w:tcW w:w="6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8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注：1、续驶里程以国家汽车质量监督检测中心出具的检测报告（整车产品定型）和工信部发布的新能源汽车车辆购置税减免车型目录为依据；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2、整车参数及车辆名称、车辆外观以投标车辆公告为准。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70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3、整车技术配置需求：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w:t>
            </w:r>
          </w:p>
        </w:tc>
        <w:tc>
          <w:tcPr>
            <w:tcW w:w="5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技术配置要求</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电池系统</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▲1、采用优质磷酸铁锂电池，电量不低于150kWh（电池容量以国家汽车质量监督检测中心出具的检测报告（整车产品定型）为依据）；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★2、电芯与电池系统为同一电池生产企业；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池具备1C倍率充电至80%SOC的能力，在质保期内应委托电池制造厂执行专业规范的电池定期维保服务，包括安全检查、性能检测、电池均衡保养等，并对有故障的电池进行处理，在质保期内电池组电量衰减超过15%予以免费技术处理，8年内电池组电量衰减不超过总电量的20%，否则投标人无条件免费更换同品牌全新电池（电池容量衰减由专业第三方检测机构进行检测，检测费用由投标人承担）。一次充满电后，在预留20%电量、在绍兴地区综合路况的情况下，空调开启制冷模式或开启制暖模式、车辆满载情况下实际续驶里程≥250k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4、单位载质量能量消耗量：Ekg≤0.18（投标人提供依据）；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5、电池成组能量密度≥160Wh/kg（能量密度指成组后能量密度，非单体电池能量密度，电池厂家及客车厂家必须提供真实数据，并提供国家汽车质量监督检测中心出具的检测报告（整车产品定型）依据）；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6、配备电池管理系统(BMS)，管理功能如下：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1）具有电池温度、电压、电流、电量的监控功能及加热控制、电池故障分析与在线报警，采用主动均衡技术，满足各种工况要求。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2）为保证车辆收车或长期停放过程中电池系统安全，电池系统要求具备24小时监控系统。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3）满足国家充电技术要求,充电插口必须是国标。具备未拔充电枪车辆不能起步功能、拔枪时灭弧功能。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4）电池管理系统免费质保期不少于8年。电池管理系统要符合国家标准，系统要提供免费升级更新。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5）储存车辆VIN码等相关信息，以使招标人充电桩在车辆充电过程中可读取车辆VIN码等信息，并可与招标人公交车智能充电管理系统进行免费对接；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7、电池安全：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（1）每个电池组内部均串联有保险，在电池失效时可及时断开，配置绝缘监测模块，实时监测每箱电池的绝缘状况，保证电池系统的高压安全。有高压熔断装置（手动及自动两种控制方式）；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动力电池具有防碰撞保护装置并确保电池舱发生碰撞后符合国家标准。电池与整车隔离，绝缘、防火隔热设计，电池仓与客舱之间铺设防火隔热材料，符合GB8624标准“阻燃性能等级，A级不燃”；多重熔断保护，整车高压分级预警系统，高压快断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电池箱标配专用灭火装置，具有热失控预警、火灾报警及火灾抑制等功能的灭火装置，电池箱灭火装置应具有温度传感器、气体分解传感器、烟雾传感器并能实现电解液漏液自动检测报警，在监测到储能装置热失控和火情状况时，以声光报警信号向驾驶员报警。电池箱灭火装置采用投标厂家标配，且需得到选用电池生产制造的安装许可，同时由权威消防研究中心对该产品的试验报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8、电池组冷却系统采用内置空调集成液冷模式，冷却系统风扇电机为进口无刷电机，带进口循环水泵，并接入CAN总线具有提示功能；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9、电池布置形式：电池合理布置，做好车辆重量重心的均衡分布，电池安装位置不低于国家标准，满足涉水深度要求；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防护等级：电池箱、信号连接器不低于国家标准，防水、防尘等级达到IP67或以上的防护等级，满足雨雪天气运营需求及车辆的涉水安全，须提供国家认可检测机构出具的检测报告。具有电池热管理功能，须在冬季可保证有效的充电效率，不得出现冬季低温车辆无法充电情况。动力电池具有良好的防火及散热性能，防止夏季出现高温现象，保证良好的高低温工作性能。动力电池充分考虑绍兴地区的气温变化（适应冬夏温度范围），安装必须散热、防水，并具备极端天气时，自我保护功能和安全提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11、动力电池企业售后服务能力通过国家标准GB/T27922-2011《商品售后服务评价体系》认证并获得五星及以上级别的证书，须提供证明文件。</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动力电池回收处理：投标人必须根据国家相关政策和环保法规对维修、更换及车辆报废时的废旧动力电池（含维修费用）进行免费环保回收（车辆报废时，国家或地方相关法律法规政策及车辆报废回收单位有专门要求的除外），招标人保留动力电池的最终处理权。招标人根据车辆使用报废情况通知投标人，投标人应在接到通知30日内对动力电池进行回收处理并提供环保处理证明。投标人出具相关承诺书。</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7"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驱动电机</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1、采用水冷永磁同步电机，峰值功率≥120KW；（以国家汽车质量监督检测中心出具的检测报告（整车产品定型）为依据）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2、电机直驱，无级变速，驱动电机具备辅助制动功能，同时具有能量回收功能；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3、电机防护等级：IP67或以上防护等级；</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4、电机冷却系统采用厂家标配电子智能冷却控制系统，标配水箱、进口无刷风机；</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整车高压部件控制器</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1、高压电控系统均采用优质控制器，要求控制器高度集成，尽量减少高压连接点；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高压配电箱采用集中配电方式，具有多路保护电路，内置高压接触器、高压熔断器、绝缘检测板等；须匹配MSD开关，保证维护安全；须具有高压互锁功能，保证在突发情况或故障时，能够断开高压；须内置预充电路；须内置绝缘检测电路，具有漏电保护功能；须具有充电保护电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3、车辆操作时杜绝系统发生与操作不符导致车辆失控的情况，突发高压掉断电时仍可以确保转向操作，不得出现突发断电导致方向失控或锁死现象。</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4、整车采用耐高温的辐照阻燃电动车专用电缆，具有屏蔽层，各高压系统具有电磁干扰认证，各高压部件之间不可互相干扰。</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7"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底盘</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1、前桥轴荷3500Kg及以上，后桥轴荷5000Kg及以上；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2、采用适合纯电模式驱动的后桥总成，冲压焊接整体式桥壳，差速器总成单级主减速器、主减速齿精磨加工。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3、悬挂：采用厂家标配空气悬挂系统，配装进口气囊和减震器，悬挂系统承载能力必须满足城乡运营线路实际需求，平衡杆及连接支架在使用周期内出现断裂等现象，其责任全部由客车投标人承担。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4、采用单节、开式传动轴，最大承载扭矩必须满足城乡线路实际运行的特殊要求。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5、轮毂采用进口一体化轴承单元免维护（免维护轮毂总成）。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制动系统：采用厂家标配前后盘式制动，制动灵敏，具有良好的操作稳定性和可靠性；配双回路气制动系统，配带制动阀、回路保护阀、前后继动阀、差动继动阀、冷凝器、空气干燥器。制动系统阀类、ABS均使用进口品牌。配制动过热预警装置，要求与匹配制动系统，不得影响制动效果。</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7、驻车制动：采用双回路气制动系统，驻车制动采用手控操纵储能弹簧制动，作用于后轮，增设有解除驻车制动控制气路与接口。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8、转向系统：采用厂家标配电动液压转向助力系统，转向助力泵与转向器要匹配。</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9、配置投标人标配无油活塞电动打气泵。</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10、液管路：管路采用优质聚氨酯增强型软管及耐油胶管。管路系统按标准进行保压泄露测试，符合要求，与电线束和油水管分别布置。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气管路：空压机至冷凝器管路采用优质铜管、其余部分亚太管，并根据不同功能采用不同颜色管路进行区分，便于后期维护保养。管路各接口连接可靠，不凹瘪、不扭曲、不坠挂，在车辆运动中不碰擦其它零部件或因抖动出现断裂。管路弯曲或与车身接近部位必须采用固定支架（中间增加防磨损胶垫圈）进行固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12、贮气筒容量：贮气筒总容量满足整车实际需求及公交线路实际使用需求，耐腐蚀。储气筒放水开关采用智能自动放水。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13、配装底盘集中润滑系统，需实现远程监控功能，加入CAN总线，智能ECU液晶监控，具有计数、油压、运行、故障报警、故障诊断等功能,可接入招标人统一的管理平台。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14、采用标配铝合金轮辋，真空胎轮胎。（每一辆带一个加轮辋备胎配胎压监测）配标配胎压监测系统，胎压监测系统可接入招标人统一的管理平台。配轮胎螺丝防松扣。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15、制动低压报警：设有灯光指示报警和声响报警。</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各类管路（包括各类滤清器）不得与电器和电线、以及客车其它运动部件发生干涉和碰擦，所有管路线束等不得布置在底架下方（不得低于底架平面）。电线束、气管必须分列敷设，不得混扎一起，便于维修检查。</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一、前、后桥推荐品牌：参照或相当于东风德纳桥或方盛或ZF。</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二、轮胎推荐品牌：参照或相当于佳通或倍耐力或米其林或普利司通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电器系统</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全车线路控制采用标配三级CAN总线，连接各类控制系统及传感器，底盘部分接制动气路、集中润滑控制，车身部分接上下客门、除霜机、空调、灯光、仪表、喇叭、倒车监视等控制，CAN总线必须提供485输出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2、整车集中配电板安装在防水、防潮、防尘及便于检修的安全位置。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蓄电池仓必须单独设立，与控制盒等电器元件完全隔绝，并与车身具有密封结构，采用推拉或旋转式安装支架，底座留有排水孔；蓄电池架要求旋转或推拉方便，固定锁止可靠，易于清洁和维护；总电源开关在充电口附近单独设计小门，方便充电时断开电源总开关，提高充电安全性与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器线路：整车电器、电器线路、接插件和熔断器必须符合国家相关标准要求。所有电线采用耐高温（125℃）、辐照交联阻燃型电线，底盘电线和电线束外加套阻燃波纹管，所有电线接插件采用进口产品（底盘部分要求防水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5、电线和电线束走向及安装应规范，布置整齐，接头牢固并有绝缘护套，电线和线束安装固定扣攀。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线和电线束不得与客车其它零部件发生碰擦，并避开发热零部件。电线和电线束与车身接触处用阻尼胶固定，电线和电线束穿越孔洞时必须装设防磨损胶垫圈和绝缘护套，进入车身的暗线必须加套阻燃绝缘管安装并可靠固定，整车电线主线部分不得采用拼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7、车辆前部（仪表台附近）电器线路需预留部分备用线路或接线柱，并且接线柱或插接件前端有保险装置。以备车辆增加临时用电器的需求。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8、灯光、照明装置，信号装置、开关的布置符合相关法规的要求。前后灯具维护方便，安全可靠，具有角度可调装置。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9、车厢顶部示宽灯采用内嵌式，车内上下踏步灯安装在踏步内。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10、车厢内灯采用LED灯源，采用三档分段交叉控制。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11、采用一体式仪表系统，在仪表显示面板上要有故障“闪码”显示功能。驻车制动气压指示应与后轮制动气压指示的仪表应在同一仪表里显示。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12、CAN总线控制模块的安装必须满足防尘、防水、防静电的要求。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13、安装可打印式行车记录仪。</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专用线路：IC卡POS机、多媒体报站器、车载监控系统、调度终端、安全卫士、客门(倒车)监视器电源线路采用双线制，要求焊接专用接地线，并配接线排，确保安全可靠，电源从主配电板单独接入，并独立安装保险丝。IC卡POS机电源线、调度终端、车载监控电源为总闸控制电源，其余电器均以仪表总开关控制电源。 </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底架</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1、车辆纵梁和车身骨架应有足够的强度，抗扭、抗弯性能好。充分考虑城乡车辆实际运行的特殊要求，以及绍兴路桥高低落差大的道路条件。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2、底骨架焊接处应有两次防腐处理。下表面应防石击漆涂处理。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3、前后桥轮毂区域应有两层密封防腐处理。保证骨架不外露。</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4、在前、后桥附近底部空间，应根据车辆底架结构特点，设置承重梁。在车身左右侧设有多个支车点，并设置支车点标记。</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车辆纵梁前部适当位置应设置拖钩，拖钩及连接部位骨架、连接方式应满足车辆拖动施救的需求，要求使用方便，拖拉固定可靠。同时纵梁前部区域的各类管路、线束的布置应充分考虑拖车时的运动干涉，以免损坏。</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1、车身骨架采用高强度优质矩形钢管拼焊，整车采用阴极电泳防腐（车身及底盘）工艺或采用铝合金车身，并保证8年以上不锈蚀，充分考虑绍兴地区的潮湿性气候的特点。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2、整车防漏水、漏灰及密封性能良好。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3、车身外侧：采用涨拉蒙皮结构，顶盖蒙皮之间的连接采用搭接方式，侧围蒙皮之间的连接采用对接方式。蒙皮采用优质耐腐镀锌钢板（厚度不小于1 mm），全部蒙皮均经过除污、防锈、磷化处理或选用已做防腐处理的板材。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4、骨架与蒙皮、骨架与地板等接合缝处采用聚氨脂密封胶进行密封防水防锈处理。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5、车身顶棚骨架间距不大于900mm。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6、门骨架及上方应加强，必要时加焊加强铁板、厚度不小于3mm。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7、客车整车采用聚氨酯发泡进行隔热处理。所有隔热填充材料必须符合国家相关标准要求，具有安全、环保、阻燃和无异味等性能，阻燃性能要求能达到相关标准最高等级。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8、车厢内侧板采用优质硬性低发泡型PVC板材。内顶板采用打孔型铝塑板，颜色与空调风道、前后围内饰板的颜色一致或相近。内顶板与空调风道、回风窗等各部位接口应确保安装牢固、接口平整无缝隙。</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身左右侧边门采用铝合金材料、翻开式，开启角度不低于150°，机械锁和液压支撑杆检修门结构，并装有胶垫防震、检修门铰链。要求舱门美观牢固，开启方便，锁止可靠，门与车身蒙皮缝隙均匀，液压撑杆支撑力要满足支撑检修门要求，确保安全稳定，在侧围检修门和客车骨架之间增装保险绳（挂钩或钢丝绳或链）。为方便雨刷器等部件的检修与拆装，客车前围为开启式前围，提高维保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10、凡需检修的部位都应开设工作门或检修窗。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驾驶区、仪表台：按照国家JT/T1241标准安装驾驶区防护隔离设施。仪表台和仪表与开关、监视器、报站器布置要方便司机操作使用，顶灯、车厢灯、电子路牌单独安装开关，不常用的操纵开关可布置在司机左侧；仪表台上安装驾驶员喊话器及插口；前后门未关时仪表台有报警灯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12、驾驶室安装带锁证件箱，配置茶杯架；驾驶室不安装收音机；驾驶员左上侧安装电扇（小风扇）。</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13、乘客可触及的车身内外部件、构件都不应有尖角和锐边；乘客门上面的导水槽不应有尖角和锐边，以免影响自动洗车机。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14、安装隐藏式拖把箱及分类垃圾桶。（由投标人提供样式，招标人选择）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15、车厢安装一只车顶逃生窗。确保密闭性良好，不漏水。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16、车身油漆采用进口或投标人标配油漆。</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4"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1"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地板</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采用大平面环保阻燃PVC地板，阻燃性能要求能达到相关标准最高等级，厚度不小于18MM，地板与客车底架采用胶水及专用螺栓连接，铺设区客车底架横梁加密、地板及座椅固定螺栓要求连接在横梁或替板上、紧固可靠（8年内不发生地板拱起，螺栓松脱开现象），地板各连接缝、地板与车身的接缝处应涂密封胶。整车采用厂家标配耐磨防滑石英沙城市客车专用地板革，地板与地板革采用进口高强度防水专用地板革胶粘接，做到不脱胶、不起泡、不开裂。地板革与地板是采用焊接拼接，接缝处剔割平整。乘客门踏步区域采用黄色踏步专用地板革，应有“站立禁区”字样。</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2、地板应设有检修孔和盖板，方便维修。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3、整车采用一级或二级踏步制式。通道宽度符合国家标准。</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4、车厢内各阴阳角拼缝处采用铝合金型材拼压或地板革焊接工艺，直角拼缝处采用磨光45°对接，圆弧拼缝处则可采用成型或锯齿状弯曲拼压，确保拼压平整贴服。</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门窗及玻璃</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1、车门为厂家标配乘客门，加强型铝合金门板，门玻璃为钢化玻璃，乘客门下带防夹脚设置。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2、乘客门关闭时应装有气囊防夹缓冲装置。门轴应装防护装置并设置铝制铆钉固定的防夹提示牌。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3、为确保安全性，设置开门信号灯，只有在门都关好的情况下，信号灯才关闭，车辆才可启动，该信号灯为左右危险信号灯；车速达到5码以上车门不能打开。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4、全车应有门锁装置。各类锁具（除上下客门锁）要求规格统一，为了便于日常管理要求所有锁具可由统一的一把钥匙（三角锁）打开。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5、门泵驱动系统采用标配电控气动方式，门泵自带控制器，在仪表台适当位置设置乘客门应急打开气动控制阀开关，并在每个乘客门内外处和车外必须装紧急开关，以备紧急使用；门泵带自动气水分离装置。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6、边窗玻璃：粘贴式内藏推拉窗，推拉窗部分尽量大。边窗玻璃采用纳米隔热工艺，透光率51%，有明显隔热隔光玻璃标识。符合GB 9656-2021《机动车玻璃安全技术规范》的要求，左侧第一扇驾驶室窗玻璃为高透光玻璃，玻璃的可见光透射比应不小于95%，可见光反射比应不大于1.5%，前半扇可移动，后半扇固定；右侧安装路牌处对应部分玻璃为透明。玻璃和侧窗与车身骨架采用原装进口粘合胶粘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7、前挡风玻璃：采用全景整体夹胶安全玻璃。后挡风玻璃：采用整体式钢化安全玻璃。挡风玻璃涂黑部分尺寸必须满足后视镜视角和电子路牌显示要求。雨刮器刮刷面积满足驾驶员视野需求。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8、驾驶座左、前方安装下拉式活动遮阳帘。</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座椅及扶手杆</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1、座椅布置：要求座椅最大化安装。座椅布置由投标人提供布置图，招标人选择。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2、座椅防滑、易清洁、乘坐舒适。安装橙色照顾座椅，并安装爱心标识；安装军人专座。具体数量和位置由招标人确定。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3、后排座椅应装有安全扶手。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整车采用铝合金扶手管，表面安装橡胶扶套，扶手套要求用螺钉固定确保不能滑动；扶手各连接部位的螺栓加保护套。整车直扶手采用弧形设计形式。直扶手与直扶手之间采用错距安装，最大限度地确保车厢内部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5、前乘客门仪表台区域应安装扶栏，保证驾驶员观察车辆右前方后视镜的视线。但不得影响前门的有效通道宽度。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6、靠窗座椅外侧应加装扶栏以保证安全。在符合国家标准的基础上，尽量扩大逃生出口面积。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7、乘客区应为站立乘客提供足够数量的扶手杆、拉手杆和广告式拉手；前挡风窗、前乘客门乘客站立处设置距地板90—110mm安全扶手杆，并符合GB/T13094中的有关要求。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8、车内前后尽量多的安装有线下车门铃，门铃声音大小符合日常需求，要求即按即响，并具有语音提示功能，同时在车内内视镜上方安装汉化型提示灯。</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后视镜和喇叭</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1、安装手动左短右长杆式倒车镜，配电除雾，设置开关且熄火后可自动切断，装可调节下视镜，支承牢固，车辆行驶时不应有明显的抖动，视野清晰。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2、安装双蜗牛电喇叭。</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3、安装可调节后视镜，不带时间、温度显示。</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后仓</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1、后仓应采用良好的隔热、隔振、阻燃、降噪音材料和阻燃灭火措施，要求能达到相关标准最高等级，开启通风良好，有利于散热。</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2、后仓区域内各类元器件、控制器布局合理，便于检修。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3、后仓内、后仓门合理安装加强防撞梁，做好防撞措施。</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4、后仓内合理安装灭火装置，要求符合国家JT/T 1240 标准。</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空调系统</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1、配纯电动专用冷暖一体式车载空调，最大制冷量14000大卡以上，进口压缩机、冷凝风机和蒸发风机，冷凝器和蒸发器采用优质铜芯，进口干燥器和阀类、进口接插件，连接管路采用优质铜管。</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2、车厢冷风道采用全景式铝合金风道结构形式，方便拆洗和检修，同时需考虑驾驶区域出风量。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3、风道外观平顺美观，接口平整固定可靠，检修口设置合理、检修方便，开启、锁止方便可靠。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4、风道不得与前、后路牌窗贯通，表面平整圆顺，固定安装可靠。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5、在空调蒸发器出风口处的顶盖蒙皮设有防水止口，排水管布置必须合理，防止冷凝水入车内。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6、空调机组安装牢固可靠，整机性能稳定，拆装清洁维护方便。前、后车厢及驾驶区各部温度均匀一致。风道内增设导流板，确保冷风有效引入车厢。</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7、安装电除霜装置，驾驶员处有出风口，便于驾驶员脚部取暖。</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空调推荐品牌：参照或相当于松芝或大冷王或精益。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服务系统</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1、多媒体报站器和下客门监视器釆用嵌入式。监视器安装在司机仪表台右侧，多媒体报站器安装在监视器下方立面处（斜置）。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前、后、侧牌采用全彩型可双语显示电子路牌，前后牌显示尺寸224mm×1344mm及以上，像素32×192；侧牌显示尺寸320mm×960mm，像素64×192及以上。字体可显示16点阵、24点阵、32点阵，路牌设有光感探头，可随外界亮度变化自动调节亮度，内容可以静止、滚动等多种方式显示，可显示图片、文本等，颜色可任意配置。侧牌可显示途径站点信息，后牌可显示转弯、刹车等信息。仪表台设有独立开关。（显示尺寸只作参考，具体需根据实际安装空间稍作调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3、车辆内部前端安装车内屏，要求字数最大化，红色，与报站器联动，显示当前站及下一站信息，也可显示相关文明用语信息。仪表台设有独立开关。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19寸车内广告机1只（具体位置由招标人确定），要求广告机内容具有远程多媒体视频、图文发布功能，具有安全加密功能，阻止第三方篡改播放内容，同时能接入招标人现有集中发布平台。车厢内布置8只6″喇叭，左右间隔布置，4只用于多媒体站器，4只用于多媒体，并配置报站器专用外喇叭一只，同时由客车投标人配置喊话器及插座与报站器外喇叭连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5、在前门附近扶手立杆上设儿童身高限位标尺。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6、车内设置司机工具箱、车内外标识等服务设施，由招标人提供技术要求，投标人设计、安装。车头车尾安装“绍兴公交”标识。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载监控系统和调度终端统一安装在电子设备箱中，电子设备箱中必须有长电、ACC控制电源、总闸控制电源等三组电源线，以满足车载监控系统和调度终端需要。电子设备箱原则上安装在驾驶员座位后面。（车载监控系统上下客门及驾驶区域的监控装置安装位置由招标人确认后安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8、全景式铝合金风道司机正上方不带灯源，风道广告域窗口内容根据招标人实际需求确定。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9、车辆设置司机左脚放置垫。</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10、系统集成：车载监控系统、调度终端、电子路牌、安全卫士、车门及倒车监视器均需和多媒体报站系统所连接，客车厂负责线束及线路的制作设计、并调试。</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标配小型化智能电子投币机（配三个电子内胆），具有外箱电动开锁、内胆电动开锁、投币计数等功能，储币量要求达到600元以上；在投币机旁设POS机（预敷设IC卡POS机电源线、POS机支架，直接从蓄电池引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12、设置语音提示功能，可调节音量可开关，车辆启动、转向、倒车、低速时有语音提醒播报功能，开关设置在仪表台上，车辆启动对内播报，车辆转向、倒车对外播报，低速声音报警可对内对外播报。</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13、车内座椅旁合理安装适当数量的USB充电接口。</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车载监控系统、调度终端、POS机、多媒体报站、安全卫士、电子路牌、车内屏由招标人提供型号及位置布置，车辆制造厂家负责安装调试。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9"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7"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车身涂装</w:t>
            </w:r>
          </w:p>
        </w:tc>
        <w:tc>
          <w:tcPr>
            <w:tcW w:w="5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车身颜色、图案、标识由投标人提投标方案再经招标人确认。</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智能安全配置</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1、要求配有电子驻车、制动防抱死装置（ABS）、上坡辅助（HSA）、驱动防滑（Y-ASR）、复合制动（CBS）、停车制动（AutoHold）、24小时电池监控系统、油门防误踩功能、充电多层安全防护装置等智能安全配置。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配电子后视镜系统：车内右A柱上单侧安装12.3寸电子后视镜；采用上下分屏结构，要求可显示两侧A柱盲区和前方盲区，亮度自动调节，具备夜间自动补光，防眩光功能。采用车规级操作系统，冷启动速度≤2秒，图像分辨率1280P以上，画面流畅，帧数≥50桢，延迟≤60毫秒，与车载视频监控主机对接存储；要求固定牢固，车辆正右前方及右侧视野清晰，安装位置不能遮挡车外倒车镜及乘客门，不影响驾驶员视野及日常行车安全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360°全景环视系统，该系统由全景环视主机及环视摄像机组成的影像式行车安全辅助系统，能够利用安装的摄像头获取影像，通过成熟的算法处理，输出全景环视图像，并接入到车载监控系统，同时能在车载监控屏中显示，该系统须与招标人集中监控平台实现无缝对接，能在集中监控平台中进行预览、回放等操作。</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4、安装车载新能源智慧终端，可监控、查询车辆实时状态和各类数据，支持多策略数据上传，预留数据通讯接口，可提供数据协议，能接入招标人管理平台，并可根据招标人实际需求免费更新升级。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5、车内驾驶区域安装车辆安全卫士。（具体布局按招标人习惯布置）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6、车厢内按国家JT/T1240标准安装标配危险气体报警装置。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7、整车侧窗左右两侧安装电动击窗器（爆破器），带翻盖报警功能，每车安装四处，左二右二，布置相关说明，以便在发生紧急情况时，可及时顺利逃生。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8、车内带压力表水基型4公斤灭火器4只（配筒式固定座）。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9、车厢内每扇车窗安装带钢丝及蜂鸣防盗安全锤（其中1把安装在驾驶室），并在车窗玻璃上根据国标要求注明安全锤敲击点及逃生窗口图示。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10、控制仓、电池仓、高压仓内合理安装自动灭火装置。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11、安装铝制安全提示牌（具体内容由招标人确定）。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12、配置驾驶员未系安全带提醒。</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注：以上各项如国家JT/T1240标准中有要求的，须按标准要求执行。</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4"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其他</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1、随车工具：少于5辆车的赠送2套，之后每增加5辆车多赠送1套（不到5辆按5辆算）。</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2、随车资料。</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3、车内布置驾驶员茶杯支架、手机袋、证件盒。</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4、每车提供两套底盘号及电机号拓印，拓印件必须用铅笔和专用拓印纸进行拓印，字体清楚；</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5、后档无客车销售等广告；</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6、随车配三角警告牌。</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7、车内警示牌均要求采用铝制。</w:t>
            </w:r>
          </w:p>
          <w:p>
            <w:pPr>
              <w:keepNext w:val="0"/>
              <w:keepLines w:val="0"/>
              <w:widowControl/>
              <w:suppressLineNumbers w:val="0"/>
              <w:shd w:val="clear"/>
              <w:jc w:val="both"/>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8、本表未注明配置和质量必须符合国家及行业相关标准。</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4" w:hRule="atLeast"/>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质保要求</w:t>
            </w:r>
          </w:p>
        </w:tc>
        <w:tc>
          <w:tcPr>
            <w:tcW w:w="51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免费质保4年（含零部件），零部件质保以车辆出厂《保修手册》为基准与整车质保同比例提升（超出8年的按8年执行），例：车辆出厂《保修手册》中整车质保期限为24个月，雨刮片质保期限为3个月，以整车免费质保8年计算，雨刮片质保要求提升至96÷24×3=12个月，零部件质保已明确要求的除外。质保期限自车辆上完牌照后开始计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纯电动系统电池组（含附属件）、BMS及电池组液冷系统、电池组灭火装置要求质保8年（含易损、易耗件），质保期内日常的维护保养材料、人工等由投标人负责，同时投标人承诺提供每季度一次及重大节假日、重要活动对纯电 动系统电池组及附属件的安全检查。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纯电动系统驱动电机及附属件要求质保8年（含易损、易耗件），质保期内日常的维护保养材料、人工等由投标人负责，同时投标人承诺提供每季度一次及重大节假日、重要活动对纯电动系统驱动电机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4、电机冷却系统要求质保8年（含易损、易耗件），质保期内日常的维护保养材料、人工等由投标人负责，同时投标人承诺提供定期及重大节假日、重要活动及按招标人要求对电机冷却系统的安全检查。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纯电动系统高压电控系统及附属件（包括但不限于高压配电柜、直流转换器、电动助力转向控制器、驱动电机控制器、空压机控制器）要求质保8年（含易损件、易耗件），质保期内日常的维护保养材料、人工等由投标人负责，同时投标人承诺提供每季度一次及重大节假日、重要活动纯电动系统高压控制器及附属件（包括但不限于高压配电柜及柜内附件、直流转换器、电动助力转向控制器、驱动电机控制器、空压机控制器）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6、电动打气泵要求质保8年（含易损、易耗件），质保期内日常的维护保养材料、人工等由投标人负责，同时投标人承诺提供定期及重大节假日、重要活动及按招标人要求对电动打气泵的安全检查。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7、前后桥总成要求质保8年（含易损、易耗件）。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8、空气悬架系统质保8年（含易损、易耗件）。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9、免维护轮毂总成要求质保8年（含易损件、易耗件）。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10、电动液压转向系统(包括但不限于方向机、助力泵、电机、直流转换器)要求质保8年（含易损、易耗件）。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11、底盘集中润滑系统要求质保8年（含易损、易耗件）。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12、制动系统刹车总成要求主体结构件质保8年、易损件质保3年或以上。同时还需出具如因刹车咬死、发热造成的相应部件（包括免维护轮毂）损坏，由投标人全额承担损失的承诺书。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13、铝合金轮辋要求质保8年（外力损伤除外）。</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14、胎压监测系统要求质保8年。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15、CAN总线（含仪表）要求质保8年。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16、车身车架防腐要求质保8年。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17、驾驶区防护隔离设施要求质保8年。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18、拖把及垃圾综合性储物箱要求质保8年。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18、车顶逃生窗要求质保8年。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19、PVC地板及地板革要求质保8年。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20、后视镜电除雾要求质保8年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21、乘客门总成（含门泵等，含易损、易耗件）要求质保8年。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22、座椅（含驾驶员座椅）要求质保8年。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23、铝合金扶手要求质保8年。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24、侧窗玻璃要求质保8年（含总成件、所属配件、易损件及工时）。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25、车载空调要求质保8年。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20、全景铝合金风道要求质保8年。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26、车顶防漏要求质保8年。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27、除霜装置要求质保8年。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28、电子路牌、车内屏要求质保8年。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29、车内广告机要求质保8年。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30、电子投币机要求质保8年。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31、语音提示设备要求质保8年。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35、电子后视镜系统要求质保8年。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36、360°全景环视系统要求质保8年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32、危险气体报警装置要求质保8年。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33、电动击窗器要求质保8年。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34、投标人投标时承诺控制仓、高压仓、电池仓自动灭火装置8年保质期内有效期到期前免费更换的承诺书。</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注：1、招标车辆技术要求有国家相关要求的，以国家最新标准要求为准。</w:t>
            </w:r>
          </w:p>
        </w:tc>
        <w:tc>
          <w:tcPr>
            <w:tcW w:w="1363"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8337" w:type="dxa"/>
            <w:gridSpan w:val="3"/>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2、招标车辆技术要求如前后有冲突或与现实情况不相符，以招标人实际需求为准。</w:t>
            </w:r>
          </w:p>
        </w:tc>
        <w:tc>
          <w:tcPr>
            <w:tcW w:w="1363"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bl>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tbl>
      <w:tblPr>
        <w:tblStyle w:val="64"/>
        <w:tblW w:w="9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8"/>
        <w:gridCol w:w="2196"/>
        <w:gridCol w:w="5181"/>
        <w:gridCol w:w="1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trPr>
        <w:tc>
          <w:tcPr>
            <w:tcW w:w="97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标项四：名称：5.99米（微公交）纯电空调公交客车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 数量：18辆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（一）招标车辆技术要求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1、整车性能要求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87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安装要求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必须是列入国家上牌目录的车型，客车整车性能必须符合国家GB7258《机动车运行安全条件》，GB13094《客车结构安全要求》GB 18384《电动汽车安全要求》、GB 38032《电动客车安全要求》等相关客车标准要求，以及投标人在投标书所明示达到的各项技术指标要求。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客车操作稳定性达到QC/T480《汽车操作稳定性指标限值与评价方法》标准要求。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客车密封性能达到QC/T476《客车防雨密封性限值》标准要求。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车辆安全装置应符合国家法规要求，车辆制动结构应符合GB12676汽车制动系统结构、性能和试验方法的有关规定。如发生安全事故时，经认定属投标人责任的，按法律规定承担一切责任。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客车整车保温隔热材料，各类内饰部件和电器电线（包括电器接插件），阻燃与环保性能必须满足国家和行业相关标准要求。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客车采用优质成型矩形钢管焊接的骨架结构，方基调小圆角车身选型，超大视野的夹胶全景玻璃，结构紧凑，比例协调，线条流畅。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投标车型必须投标车型必须已进入国家汽车产品公告，在《免征车辆购置税的新能源汽车车型目录》及《享受车船税减免优惠的节约能源 使用新能源汽车车型目录》内。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74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车辆各项安全设施配置功能和有关标志标示等必须符合国家JT/T 1240、JT/T 1241、CCCF/XFJJ-01、GB/T13094、GB8624、GB38262、JT/T1095、GB5845等标准要求。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8"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191"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73"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tcBorders>
              <w:top w:val="nil"/>
              <w:left w:val="nil"/>
              <w:bottom w:val="nil"/>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5191" w:type="dxa"/>
            <w:tcBorders>
              <w:top w:val="nil"/>
              <w:left w:val="nil"/>
              <w:bottom w:val="nil"/>
              <w:right w:val="nil"/>
            </w:tcBorders>
            <w:shd w:val="clear" w:color="auto" w:fill="auto"/>
            <w:vAlign w:val="center"/>
          </w:tcPr>
          <w:p>
            <w:pPr>
              <w:shd w:val="clear"/>
              <w:jc w:val="left"/>
              <w:rPr>
                <w:rFonts w:hint="eastAsia" w:ascii="仿宋" w:hAnsi="仿宋" w:eastAsia="仿宋" w:cs="仿宋"/>
                <w:i w:val="0"/>
                <w:iCs w:val="0"/>
                <w:color w:val="auto"/>
                <w:sz w:val="22"/>
                <w:szCs w:val="22"/>
                <w:highlight w:val="none"/>
                <w:u w:val="none"/>
              </w:rPr>
            </w:pPr>
          </w:p>
        </w:tc>
        <w:tc>
          <w:tcPr>
            <w:tcW w:w="1373" w:type="dxa"/>
            <w:tcBorders>
              <w:top w:val="nil"/>
              <w:left w:val="nil"/>
              <w:bottom w:val="nil"/>
              <w:right w:val="nil"/>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3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内容</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技术参数及说明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▲长（mm）</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5900±100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宽（mm）</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2050±100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高（mm）</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最大额定人数</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标配座位数</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最高车速（km/h）</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总质量（kg）</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续驶里程（km）</w:t>
            </w:r>
          </w:p>
        </w:tc>
        <w:tc>
          <w:tcPr>
            <w:tcW w:w="6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87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注：1、续驶里程以国家汽车质量监督检测中心出具的检测报告（整车产品定型）和工信部发布的新能源汽车车辆购置税减免车型目录为依据；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2、整车参数及车辆名称、车辆外观以投标车辆公告为准。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7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3、整车技术配置需求：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w:t>
            </w:r>
          </w:p>
        </w:tc>
        <w:tc>
          <w:tcPr>
            <w:tcW w:w="5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技术配置要求</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电池系统</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▲1、采用优质磷酸铁锂电池，电量不低于90kWh（电池容量以国家汽车质量监督检测中心出具的检测报告（整车产品定型）为依据）；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★2、电芯与电池系统为同一电池生产企业；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池具备1C倍率充电至80%SOC的能力，在质保期内应委托电池制造厂执行专业规范的电池定期维保服务，包括安全检查、性能检测、电池均衡保养等，并对有故障的电池进行处理，在质保期内电池组电量衰减超过15%予以免费技术处理，8年内电池组电量衰减不超过总电量的20%，否则投标人无条件免费更换同品牌全新电池（电池容量衰减由专业第三方检测机构进行检测，检测费用由投标人承担）。一次充满电后，在预留20%电量、在绍兴地区综合路况的情况下，空调开启制冷模式或开启制暖模式、车辆满载情况下实际续驶里程≥250k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4、单位载质量能量消耗量：Ekg≤0.18（投标人提供依据）；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5、电池成组能量密度≥150Wh/kg（能量密度指成组后能量密度，非单体电池能量密度，电池厂家及客车厂家必须提供真实数据，并提供国家汽车质量监督检测中心出具的检测报告（整车产品定型）依据）；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6、配备电池管理系统(BMS)，管理功能如下：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1）具有电池温度、电压、电流、电量的监控功能及加热控制、电池故障分析与在线报警，采用主动均衡技术，满足各种工况要求。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2）为保证车辆收车或长期停放过程中电池系统安全，电池系统要求具备24小时监控系统。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3）满足国家充电技术要求,充电插口必须是国标。具备未拔充电枪车辆不能起步功能、拔枪时灭弧功能。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4）电池管理系统免费质保期不少于8年。电池管理系统要符合国家标准，系统要提供免费升级更新。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5）储存车辆VIN码等相关信息，以使招标人充电桩在车辆充电过程中可读取车辆VIN码等信息，并可与招标人公交车智能充电管理系统进行免费对接；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7、电池安全：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（1）每个电池组内部均串联有保险，在电池失效时可及时断开，配置绝缘监测模块，实时监测每箱电池的绝缘状况，保证电池系统的高压安全。有高压熔断装置（手动及自动两种控制方式）；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动力电池具有防碰撞保护装置并确保电池舱发生碰撞后符合国家标准。电池与整车隔离，绝缘、防火隔热设计，电池仓与客舱之间铺设防火隔热材料，符合GB8624标准“阻燃性能等级，A级不燃”；多重熔断保护，整车高压分级预警系统，高压快断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电池箱专用灭火装置，具有热失控预警、火灾报警及火灾抑制等功能的灭火装置，电池箱灭火装置应具有温度传感器、气体分解传感器、烟雾传感器并能实现电解液漏液自动检测报警，在监测到储能装置热失控和火情状况时，以声光报警信号向驾驶员报警。电池箱灭火装置采用投标厂家标配，且需得到选用电池生产制造的安装许可，同时由权威消防研究中心对该产品的试验报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8、电池组冷却系统采用内置空调集成液冷模式，冷却系统风扇电机为进口无刷电机，带进口循环水泵，并接入CAN总线具有提示功能；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9、电池布置形式：电池合理布置，做好车辆重量重心的均衡分布，电池安装位置不低于国家标准，满足涉水深度要求；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防护等级：电池箱、信号连接器不低于国家标准，防水、防尘等级达到IP67或以上的防护等级，满足雨雪天气运营需求及车辆的涉水安全，须提供国家认可检测机构出具的检测报告。具有电池热管理功能，须在冬季可保证有效的充电效率，不得出现冬季低温车辆无法充电情况。动力电池具有良好的防火及散热性能，防止夏季出现高温现象，保证良好的高低温工作性能。动力电池充分考虑绍兴地区的气温变化（适应冬夏温度范围），安装必须散热、防水，并具备极端天气时，自我保护功能和安全提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11、动力电池企业售后服务能力通过国家标准GB/T27922-2011《商品售后服务评价体系》认证并获得五星及以上级别的证书，须提供证明文件。</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动力电池回收处理：投标人必须根据国家相关政策和环保法规对维修、更换及车辆报废时的废旧动力电池（含维修费用）进行免费环保回收（车辆报废时，国家或地方相关法律法规政策及车辆报废回收单位有专门要求的除外），招标人保留动力电池的最终处理权。招标人根据车辆使用报废情况通知投标人，投标人应在接到通知30日内对动力电池进行回收处理并提供环保处理证明。投标人出具相关承诺书。</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驱动电机</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1、采用水冷永磁同步电机，峰值功率≥90KW；（以国家汽车质量监督检测中心出具的检测报告（整车产品定型）为依据））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2、电机直驱，无级变速，驱动电机具备辅助制动功能，同时具有能量回收功能；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3、电机防护等级：IP67或以上防护等级；</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4、电机冷却系统采用厂家标配电子智能冷却控制系统，标配水箱、进口无刷风机；</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整车高压部件控制器</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1、高压电控系统均采用优质控制器，要求控制器高度集成，尽量减少高压连接点；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高压配电箱采用集中配电方式，具有多路保护电路，内置高压接触器、高压熔断器、绝缘检测板等；须匹配MSD开关，保证维护安全；须具有高压互锁功能，保证在突发情况或故障时，能够断开高压；须内置预充电路；须内置绝缘检测电路，具有漏电保护功能；须具有充电保护电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3、车辆操作时杜绝系统发生与操作不符导致车辆失控的情况，突发高压掉断电时仍可以确保转向操作，不得出现突发断电导致方向失控或锁死现象。</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4、整车采用耐高温的辐照阻燃电动车专用电缆，具有屏蔽层，各高压系统具有电磁干扰认证，各高压部件之间不可互相干扰。</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2178"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底盘</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1、前桥轴荷3000Kg及以上，后桥轴荷3000Kg及以上；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2、采用适合纯电模式驱动的后桥总成，冲压焊接整体式桥壳，差速器总成单级主减速器、主减速齿精磨加工。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3、悬挂：采用厂家标配悬挂系统，配装进口减震器，悬挂系统承载能力必须满足城市公交运营线路实际超载要求，平衡杆及连接支架在使用周期内出现断裂等现象，其责任全部由客车厂家承担。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4、采用单节、开式传动轴，最大承载扭矩必须满足城市公交运营线路实际运行的特殊要求。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5、轮毂采用进口一体化轴承单元免维护（免维护轮毂总成）。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6、制动系统：采用厂</w:t>
            </w:r>
            <w:r>
              <w:rPr>
                <w:rFonts w:hint="eastAsia" w:ascii="仿宋" w:hAnsi="仿宋" w:eastAsia="仿宋" w:cs="仿宋"/>
                <w:i w:val="0"/>
                <w:iCs w:val="0"/>
                <w:color w:val="auto"/>
                <w:kern w:val="0"/>
                <w:sz w:val="22"/>
                <w:szCs w:val="22"/>
                <w:highlight w:val="none"/>
                <w:u w:val="none"/>
                <w:lang w:val="en-US" w:eastAsia="zh-CN" w:bidi="ar"/>
              </w:rPr>
              <w:t>家标配前后盘式制动，制动灵敏，具有良好的操作稳定性和可靠性。若采用</w:t>
            </w:r>
            <w:r>
              <w:rPr>
                <w:rFonts w:hint="eastAsia" w:ascii="仿宋" w:hAnsi="仿宋" w:eastAsia="仿宋" w:cs="仿宋"/>
                <w:i w:val="0"/>
                <w:iCs w:val="0"/>
                <w:color w:val="auto"/>
                <w:kern w:val="0"/>
                <w:sz w:val="22"/>
                <w:szCs w:val="22"/>
                <w:highlight w:val="none"/>
                <w:u w:val="none"/>
                <w:lang w:val="en-US" w:eastAsia="zh-CN" w:bidi="ar"/>
              </w:rPr>
              <w:t>气制动，电动打气泵须质保8年。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7、驻车制动：驻车制动采用手控操纵制动，作用于后轮。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8、转向系统：采用厂家标配电动液压转向助力系统，转向助力泵与转向器要匹配。</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9、管路系统：管路采用优质铜管、部分软管。管路系统按标准进行保压泄露测试，符合要求，与电线束和油水管分别布置。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10、配装底盘集中润滑系统，需实现远程监控功能，加入CAN总线，智能ECU液晶监控，具有计数、油压、运行、故障报警、故障诊断等功能,可接入招标人统一的管理平台。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11、采用铝合金轮辋，真空胎轮胎。（每一辆带一个加轮辋备胎配胎压监测）配标配胎压监测系统，胎压监测系统可接入招标人统一的管理平台。配轮胎螺丝防松扣。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12、设有气压低(制动液低液量)报警提示。</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各类管路（包括各类滤清器）不得与电器和电线、以及客车其它运动部件发生干涉和碰擦，所有管路线束等不得布置在底架下方（不得低于底架平面）。电线束、气管必须分列敷设，不得混扎一起，便于维修检查。</w:t>
            </w:r>
          </w:p>
        </w:tc>
        <w:tc>
          <w:tcPr>
            <w:tcW w:w="1373" w:type="dxa"/>
            <w:vMerge w:val="restart"/>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电器系统</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1、全车线路控制采用三级CAN总线，连接各类控制系统及传感器，底盘部分接制动气路、集中润滑控制，车身部分接上下客门、除霜机、空调、灯光、仪表、喇叭、倒车监视等控制，CAN总线必须提供485输出接口。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2、整车集中配电板安装在防水、防潮、防尘及便于检修的安全位置。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蓄电池要求满足日常设备使用需求，不能影响正常使用，蓄电池仓必须单独设立，与控制盒等电器元件完全隔绝，并与车身具有密封结构，采用推拉或旋转式安装支架，底座留有排水孔；蓄电池架要求旋转或推拉方便，固定锁止可靠，易于清洁和维护；总电源开关在充电口附近单独设计小门，方便充电时断开电源总开关，提高充电安全性与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器线路：整车电器、电器线路、接插件和熔断器必须符合国家相关标准要求。所有电线采用耐高温（125℃）、辐照交联阻燃型电线，底盘电线和电线束外加套阻燃波纹管，所有电线接插件采用进口产品（底盘部分要求防水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5、电线和电线束走向及安装应规范，布置整齐，接头牢固并有绝缘护套，电线和线束每隔250-300 mm安装固定扣攀。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线和电线束不得与客车其它零部件发生碰擦，并避开发热零部件。电线和电线束与车身接触处用阻尼胶固定，电线和电线束穿越孔洞时必须装设防磨损胶垫圈和绝缘护套，进入车身的暗线必须加套阻燃绝缘管安装并可靠固定，整车电线主线部分不得采用拼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7、车辆前部（仪表台附近）电器线路需预留部分备用线路或接线柱，并且接线柱或插接件前端有保险装置。以备车辆增加临时用电器的需求。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8、灯光、照明装置，信号装置、开关的布置符合相关法规的要求。前后灯具维护方便，安全可靠，具有角度可调装置。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9、车厢顶部示宽灯采用内嵌式，车内上下踏步灯安装在踏步内。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10、车厢内灯采用厂家标配风道内置LED灯源，前后贯通，厢灯采用三档分段交叉控制。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11、采用一体式仪表系统，在仪表显示面板上要有故障“闪码”显示功能。驻车制动指示应在仪表里显示。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12、CAN总线控制模块的安装必须满足防尘、防水、防静电的要求。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13、安装可打印式行车记录仪。</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专用线路：IC卡POS机、多媒体报站器、车载监控系统、调度终端、安全卫士、客门(倒车)监视器电源线路采用双线制，要求焊接专用接地线，并配接线排，确保安全可靠，电源从主配电板单独接入，并独立安装保险丝。IC卡POS机电源线、调度终端、车载监控电源为总闸控制电源，其余电器均以仪表总开关控制电源。 </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底架</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1、车辆纵梁和车身骨架应有足够的强度，抗扭、抗弯性能好。充分考虑城市公交车辆实际超载运行的特殊要求，以及绍兴路桥高低落差大的道路条件。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2、底骨架焊接处应有两次防腐处理。下表面应防石击漆涂处理。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3、前后桥轮毂区域应有两层密封防腐处理。保证骨架不外露。</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4、在前、后桥附近底部空间，应根据车辆底架结构特点，设置承重梁。在车身左右侧设有多个支车点，并设置支车点标记。</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车辆纵梁前部适当位置应设置拖钩，拖钩及连接部位骨架、连接方式应满足车辆拖动施救的需求，要求使用方便，拖拉固定可靠。同时纵梁前部区域的各类管路、线束的布置应充分考虑拖车时的运动干涉，以免损坏。</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1、车身骨架采用高强度优质矩形钢管拼焊，整车采用阴极电泳防腐（车身及底盘）工艺或采用铝合金车身，并保证8年以上不锈蚀，充分考虑绍兴地区的潮湿性气候的特点。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2、整车防漏水、漏灰及密封性能良好。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3、车身外侧：采用涨拉蒙皮结构，顶盖蒙皮之间的连接采用搭接方式，侧围蒙皮之间的连接采用对接方式。蒙皮采用优质耐腐镀锌钢板（厚度不小于1 mm），全部蒙皮均经过除污、防锈、磷化处理或选用已做防腐处理的板材。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4、骨架与蒙皮、骨架与地板等接合缝处采用聚氨脂密封胶进行密封防水防锈处理。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5、车身顶棚骨架间距应工艺标准执行。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6、塞拉门门骨架及上方应加强，必要时加焊加强铁板、厚度不小于3mm。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客车整车采用聚氨酯发泡进行隔热处理。所有隔热填充材料必须符合国家相关标准要求，具有安全、环保、阻燃和无异味等性能，阻燃性能要求能达到相关标准最高等级。车身骨架间聚氨脂发泡厚度不得小于30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8、车厢内侧板采用优质硬性低发泡型PVC板材。内顶板采用标配铝塑板，颜色与空调风道、前后围内饰板的颜色一致或相近。内顶板与空调风道、回风窗等各部位接口应确保安装牢固、接口平整无缝隙。</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身左右侧边门采用铝合金材料、翻开式，开启角度不低于120°，机械锁和液压支撑杆检修门结构，并装有胶垫防震、检修门铰链。要求舱门美观牢固，开启方便，锁止可靠，门与车身蒙皮缝隙均匀，液压撑杆支撑力要满足支撑检修门要求，确保安全稳定，在侧围检修门和客车骨架之间增装保险绳（挂钩或钢丝绳或链）。为方便雨刷器等部件的检修与拆装，客车前围为开启式前围，提高维保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10、凡需检修的部位都应开设工作门或检修窗。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驾驶区、仪表台：按照国家JT/T1241标准安装驾驶区防护隔离设施，仪表台和仪表与开关、监视器、报站器布置要方便司机操作使用，顶灯、车厢灯、电子路牌单独安装开关，不常用的操纵开关可布置在司机左侧；仪表台上安装驾驶员喊话器及插口；门未关时仪表台有报警灯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12、驾驶室安装带锁证件箱，配置茶杯架；驾驶室不安装收音机；驾驶员左上侧安装电扇（小风扇）。</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13、乘客可触及的车身内外部件、构件都不应有尖角和锐边；乘客门上面的导水槽不应有尖角和锐边，以免影响自动洗车机。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14、安装隐藏式拖把箱及分类垃圾桶。（由投标人提供样式，招标人选择）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15、安装一只逃生窗或逃生门。确保密闭性良好，不漏水。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16、车身油漆采用进口或投标人标配油漆。</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地板</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采用大平面环保阻燃PVC地板，阻燃性能要求能达到相关标准最高等级，厚度不小于18MM，地板与客车底架采用胶水及专用螺栓连接，铺设区客车底架横梁加密、地板及座椅固定螺栓要求连接在横梁或替板上、紧固可靠（8年内不发生地板拱起，螺栓松脱开现象），地板各连接缝、地板与车身的接缝处应涂密封胶。整车采用厂家标配耐磨防滑石英沙城市客车专用地板革，地板与地板革采用进口高强度防水专用地板革胶粘接，做到不脱胶、不起泡、不开裂。地板革与地板是采用焊接拼接，接缝处剔割平整。乘客门踏步区域采用黄色踏步专用地板革，应有“站立禁区”字样。</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2、地板应设有检修孔和盖板，方便维修。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▲3、整车采用一级或二级踏步制式，塞拉门区上下通道宽度≥1000mm。</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车厢内各阴阳角拼缝处采用铝合金型材拼压或地板革焊接工艺，直角拼缝处采用磨光45°对接，圆弧拼缝处则可采用成型或锯齿状弯曲拼压，确保拼压平整贴服，地板革折边高于地板水平面10CM以上，车身围板下沿采用15cm不锈钢板围裙踢脚。</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门窗及玻璃</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1、车门为厂家标配塞拉型乘客门，加强型铝合金门板，门玻璃为钢化玻璃，乘客门下带防夹脚设置；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2、乘客门关闭时应装有气囊防夹缓冲装置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3、为确保安全性，设置开门信号灯，只有在门都关好的情况下，信号灯才关闭，车辆才可启动，该信号灯为左右危险信号灯；车速达到5码以上车门不能打开。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4、全车应有门锁装置。各类锁具（除上下客门锁）要求规格统一，为了便于日常管理要求所有锁具可由统一的一把钥匙（三角锁）打开。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5、门泵驱动系统采用电控电动方式，采用进口电磁阀和继电器，在仪表台适当位置设置乘客门应急打开开关，并在每个乘客门内外处和车外必须装紧急开关，以备紧急使用。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6、边窗玻璃：粘贴式内藏推拉窗，推拉窗部分尽量大。边窗玻璃采用纳米隔热工艺，透光率51%，有明显隔热隔光玻璃标识。符合GB 9656-2021《机动车玻璃安全技术规范》的要求，左侧第一扇驾驶室窗玻璃为高透光玻璃，玻璃的可见光透射比应不小于95%，可见光反射比应不大于1.5%，前半扇可移动，后半扇固定；右侧安装路牌处对应部分玻璃为透明。玻璃和侧窗与车身骨架采用原装进口粘合胶粘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7、前挡风玻璃：采用全景整体夹胶安全玻璃。后挡风玻璃：采用整体式钢化安全玻璃。挡风玻璃涂黑部分尺寸必须满足后视镜视角和电子路牌显示要求。雨刮器刮刷面积满足驾驶员视野需求。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8、驾驶座左、前方安装下拉式活动遮阳帘。</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座椅及扶手杆</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1、座椅布置为：座椅布置由投标人提供布置图，招标人选择。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2、座椅防滑、易清洁、乘坐舒适。安装橙色照顾座椅，并安装爱心标识；安装军人专座；具体数量和位置由招标人确定。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3、后排座椅应装有安全扶手。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整车采用铝合金扶手管，表面安装橡胶扶套，扶手套要求用螺钉固定确保不能滑动；扶手各连接部位的螺栓加保护套。整车直扶手采用弧形设计形式。直扶手与直扶手之间采用错距安装，最大限度地确保车厢内部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5、乘客门区扶栏根据按厂家设计标配，须确保乘客上下通畅安全。但不得影响上下客门的有效通道宽度。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6、乘客区应为站立乘客提供足够数量的扶手杆、拉手杆和广告式拉手；符合GB/T13094中的有关要求。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7、车内前后尽量多的安装有线下车门铃，门铃声音大小符合日常需求，要求即按即响，并具有语音提示功能，同时在车内内视镜上方安装汉化型提示灯。</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后视镜和喇叭</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1、安装手动左短右长杆式倒车镜，配电除雾，设置开关且熄火后可自动切断，装可调节下视镜，支承牢固，车辆行驶时不应有明显的抖动，视野清晰。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2、安装双蜗牛电喇叭。</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3、安装可调节后视镜，不带时间、温度显示。</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后仓</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1、后仓应采用良好的隔热、隔振、阻燃、降噪音材料和阻燃灭火措施，要求能达到相关标准最高等级，开启通风良好，有利于散热。</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2、后仓区域内各类元器件、控制器布局合理，便于检修。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3、后仓内、后仓门合理安装加强防撞梁，做好防撞措施。</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4、后仓内合理安装灭火装置，要求符合国家JT/T 1240 标准。</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空调系统</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1、配纯电动专用冷暖一体式车载空调，最大制冷量9000大卡以上，进口压缩机、冷凝风机和蒸发风机，冷凝器和蒸发器采用优质铜芯，进口干燥器和阀类、进口接插件，连接管路采用优质铜管。</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2、车厢冷风道方便拆洗和检修，同时需考虑驾驶区域出风量。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3、风道外观平顺美观，接口平整固定可靠，检修口设置合理、检修方便，开启、锁止方便可靠。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4、冷风道不得与前、后路牌窗贯通，表面平整圆顺，固定安装可靠。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5、在空调蒸发器出风口处的顶盖蒙皮设有防水止口，排水管布置必须合理，防止冷凝水入车内。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6、空调机组安装牢固可靠，整机性能稳定，拆装清洁维护方便。前、后车厢及驾驶区各部温度均匀一致。风道内增设导流板，确保冷风有效引入车厢。</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7、车厢内安装电除霜装置，驾驶员处有出风口，便于驾驶员脚部取暖。</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空调推荐品牌：参照或相当于松芝或大冷王或精益。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服务系统</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多媒体报站器和下客门监视器釆用嵌入式。监视器安装在司机仪表台右侧，多媒体报站器安装在监视器下方立面处（斜置），配置灵活公交终端设备。POS机的位置、线束预留，设备由招标人提供，投标人负责安装、调试，确保正常使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2、前、后、侧牌采用汉化型电子路牌，内容可以静止、滚动等多种方式显示。侧牌可显示途径站点信息，后牌可显示转弯、刹车等信息。仪表台设有独立开关。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3、车辆内部前端安装车内屏，要求字数最大化，红色，与报站器联动，显示当前站及下一站信息，也可显示相关文明用语信息。仪表台设有独立开关。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多媒体液晶显示器1只（具体位置由招标人确定），仪表台设置开关，要求内容具有远程多媒体视频、图文发布功能，具有安全加密功能，阻止第三方篡改播放内容，同时能接入招标人现有集中发布平台。车厢内布置4只4″喇叭，左右间隔布置，2只用于多媒体报站器，2只用于多媒体，并配置报站器专用外喇叭一只，同时由客车厂配置喊话器及插座与报站器外喇叭连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5、在上客门附近扶手立杆上设儿童身高限位标尺。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6、车内设置司机工具箱、车内外标识等服务设施，由招标人提供技术要求，投标人设计、安装。车头车尾安装“绍兴公交”标识。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载监控系统和调度终端统一安装在电子设备箱中，电子设备箱中必须有长电、ACC控制电源、总闸控制电源等三组电源线，以满足车载监控系统和调度终端需要。电子设备箱原则上安装在驾驶员座位后面。（车载监控系统上下客门及驾驶区域的监控装置安装位置由招标人确认后安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8、风道司机正上方不带灯源，风道广告域窗口内容根据招标人实际需求确定。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9、车辆设置司机左脚放置垫。</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10、系统集成：车载监控系统、调度终端、电子路牌、安全卫士、车门及倒车监视器均需和多媒体报站系统所连接，客车厂负责线束及线路的制作设计、并调试。</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标配小型化智能电子投币机（配三个电子内胆），具有外箱电动开锁、内胆电动开锁、投币计数等功能，储币量要求达到600元以上；在投币机旁设POS机杆（预敷设IC卡POS机电源线、信号线、支架，直接从蓄电池引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12、设置语音提示功能，可调节音量可开关，车辆启动、转向、倒车、低速时有语音提醒播报功能，开关设置在仪表台上，车辆启动对内播报，车辆转向、倒车对外播报，低速声音报警可对内对外播报。</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13、车内座椅旁及仪表台合理安装适当数量的USB充电接口。</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车载监控系统、调度终端、多媒体报站、安全卫士、电子路牌、车内屏、灵活公交终端由招标人提供型号及位置布置，车辆制造厂家负责安装调试。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车身涂装</w:t>
            </w:r>
          </w:p>
        </w:tc>
        <w:tc>
          <w:tcPr>
            <w:tcW w:w="5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车身颜色、图案、标识由投标人提供方案再经招标人确认。</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智能安全配置</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要求配有电子驻车、制动防抱死装置（ABS）、上坡辅助（HSA）、驱动防滑（Y-ASR）、复合制动（CBS）、停车制动（AutoHold）、24小时电池监控系统、油门防误踩功能、充电多层安全防护装置等智能安全配置。</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安装车载新能源智慧终端，可监控、查询车辆实时状态和各类数据，支持多策略数据上传，预留数据通讯接口，可提供数据协议，能接入招标人管理平台，并可根据招标人实际需求免费更新升级。另配灵活公交终端设备。</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车内驾驶区域安装车辆安全卫士。（具体布局按招标人习惯布置）</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车厢内按国家JT/T1240标准安装标配危险气体报警装置。</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整车侧窗左右两侧安装电动击窗器（爆破器），带翻盖报警功能，每车安装二处，布置相关说明，以便在发生紧急情况时，可及时顺利逃生。</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车内带压力表水基型4公斤灭火器4只（配筒式固定座）。</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车厢内每扇车窗安装带钢丝及蜂鸣防盗安全锤（其中1把安装在驾驶室），并在车窗玻璃上根据国标要求注明安全锤敲击点及逃生窗口图示。</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控制仓、电池仓、高压仓内合理安装自动灭火装置。</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安装铝制安全提示牌（具体内容由招标人确定）。</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配置驾驶员未系安全带提醒。</w:t>
            </w:r>
          </w:p>
          <w:p>
            <w:pPr>
              <w:keepNext w:val="0"/>
              <w:keepLines w:val="0"/>
              <w:widowControl/>
              <w:numPr>
                <w:ilvl w:val="0"/>
                <w:numId w:val="2"/>
              </w:numPr>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注：以上各项如国家JT/T1240标准中有要求的，须按标准要求执行。</w:t>
            </w:r>
          </w:p>
          <w:p>
            <w:pPr>
              <w:pStyle w:val="2"/>
              <w:widowControl w:val="0"/>
              <w:numPr>
                <w:ilvl w:val="0"/>
                <w:numId w:val="0"/>
              </w:numPr>
              <w:shd w:val="clear"/>
              <w:autoSpaceDE w:val="0"/>
              <w:autoSpaceDN w:val="0"/>
              <w:adjustRightInd w:val="0"/>
              <w:rPr>
                <w:rFonts w:hint="eastAsia"/>
                <w:color w:val="auto"/>
                <w:highlight w:val="none"/>
              </w:rPr>
            </w:pPr>
          </w:p>
          <w:p>
            <w:pPr>
              <w:pStyle w:val="3"/>
              <w:shd w:val="clear"/>
              <w:rPr>
                <w:rFonts w:hint="eastAsia"/>
                <w:color w:val="auto"/>
                <w:highlight w:val="none"/>
              </w:rPr>
            </w:pP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其他</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1、随车工具：少于5辆车的赠送2套，之后每增加5辆车多赠送1套（不到5辆按5辆算）。</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2、随车资料。</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3、车内布置驾驶员茶杯支架、手机袋、证件盒。</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4、每车提供两套底盘号及电机号拓印，拓印件必须用铅笔和专用拓印纸进行拓印，字体清楚；</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5、后档无客车销售等广告；</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6、随车配三角警告牌。</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7、车内警示牌均要求采用铝制。</w:t>
            </w:r>
          </w:p>
          <w:p>
            <w:pPr>
              <w:keepNext w:val="0"/>
              <w:keepLines w:val="0"/>
              <w:widowControl/>
              <w:suppressLineNumbers w:val="0"/>
              <w:shd w:val="clear"/>
              <w:jc w:val="both"/>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8、本表未注明配置和质量必须符合国家及行业相关标准。</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质保要求</w:t>
            </w:r>
          </w:p>
        </w:tc>
        <w:tc>
          <w:tcPr>
            <w:tcW w:w="5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免费质保4年（含零部件），零部件质保以车辆出厂《保修手册》为基准与整车质保同比例提升（超出8年的按8年执行），例：车辆出厂《保修手册》中整车质保期限为24个月，雨刮片质保期限为3个月，以整车免费质保8年计算，雨刮片质保要求提升至96÷24×3=12个月，零部件质保已明确要求的除外。质保期限自车辆上完牌照后开始计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纯电动系统电池组（含附属件）、BMS及电池组液冷系统、电池组灭火装置要求质保8年（含易损件、易耗件），质保期内日常的维护保养材料、人工等由投标人负责，同时投标人承诺提供每季度一次及重大节假日、重要活动对纯电动系统电池组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纯电动系统驱动电机及附属件要求质保8年（含易损件、易耗件），质保期内日常的维护保养材料、人工等由投标人负责，同时投标人承诺提供每季度一次及重大节假日、重要活动对纯电动系统驱动电机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4、电机冷却系统要求质保8年（含易损件、易耗件），质保期内日常的维护保养材料、人工等由投标人负责，同时投标人承诺提供定期及重大节假日、重要活动及按招标人要求对电机冷却系统的安全检查。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纯电动系统高压电控系统及附属件（包括但不限于高压配电柜、直流转换器、电动助力转向控制器、驱动电机控制器）要求质保8年（含易损件、易耗件），质保期内日常的维护保养材料、人工等由投标人负责，同时投标人承诺提供每季度及重大节假日、重要活动纯电动系统高压控制器及附属件（包括但不限于高压配电柜、直流转换器、电动助力转向控制器、驱动电机控制器、空压机控制器）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如有电动打气泵，电动打气泵要求质保8年（含易损、易耗件），质保期内日常的维护保养材料、人工等由投标人负责，同时投标人承诺提供定期及重大节假日、重要活动及按招标人要求对电动打气泵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7、前后桥总成要求质保8年（含易损件、易耗件）。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8、免维护轮毂总成要求质保8年（含易损件、易耗件）。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9、电动液压转向系统(包括但不限于方向机、助力泵、电机、直流转换器)要求质保8年（含易损件、易耗件）。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10、底盘集中润滑系统要求质保8年（含易损、易耗件）。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11、制动系统刹车总成要求主体结构件质保8年、易损件质保3年或以上。同时还需出具如因刹车咬死、发热造成的相应部件（包括免维护轮毂）损坏，由投标人全额承担损失的承诺书。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12、铝合金轮辋要求质保8年（外力损伤除外）。</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13、胎压监测系统要求质保8年。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14、CAN总线（含仪表）要求质保8年。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15、车身车架防腐要求质保8年。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16、驾驶区防护隔离设施要求质保8年。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17、车顶逃生窗或逃生门要求质保8年。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18、PVC地板及地板革要求质保8年。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19、后视镜电除雾要求质保8年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20、乘客门总成（含易损、易耗件）要求质保8年。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21、座椅（含驾驶员座椅）要求质保8年。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22、铝合金扶手要求质保8年。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24、侧窗玻璃要求质保8年（含总成件、所属配件、易损件及工时）。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23、车载空调要求质保8年。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24、车顶防漏要求质保8年。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25、除霜装置要求质保8年。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26、电子路牌、车内屏要求质保8年。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28、多媒体液晶显示器要求质保8年。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27、电子投币机要求质保8年。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29、语音提示设备要求质保8年。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30、危险气体报警装置要求质保8年。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31、电动击窗器要求质保8年。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32、投标人投标时承诺控制仓、高压仓、电池仓自动灭火装置8年保质期内有效期到期前免费更换的承诺书。</w:t>
            </w:r>
          </w:p>
        </w:tc>
        <w:tc>
          <w:tcPr>
            <w:tcW w:w="1373"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注：1、招标车辆技术要求有国家相关要求的，以国家最新标准要求为准。</w:t>
            </w:r>
          </w:p>
        </w:tc>
        <w:tc>
          <w:tcPr>
            <w:tcW w:w="1373"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67" w:type="dxa"/>
            <w:gridSpan w:val="3"/>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2、招标车辆技术要求如前后有冲突或与现实情况不相符，以招标人实际需求为准。</w:t>
            </w:r>
          </w:p>
        </w:tc>
        <w:tc>
          <w:tcPr>
            <w:tcW w:w="1373"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bl>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color w:val="auto"/>
          <w:highlight w:val="none"/>
        </w:rPr>
      </w:pPr>
    </w:p>
    <w:p>
      <w:pPr>
        <w:shd w:val="clear"/>
        <w:rPr>
          <w:rFonts w:hint="eastAsia" w:ascii="仿宋" w:hAnsi="仿宋" w:eastAsia="仿宋" w:cs="仿宋"/>
          <w:color w:val="auto"/>
          <w:highlight w:val="none"/>
        </w:rPr>
      </w:pPr>
    </w:p>
    <w:tbl>
      <w:tblPr>
        <w:tblStyle w:val="64"/>
        <w:tblW w:w="9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2"/>
        <w:gridCol w:w="2196"/>
        <w:gridCol w:w="5142"/>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标项五：名称：8米级纯电无站立公交客车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 数量：2辆   用途：城乡线路运营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（一）招标车辆技术要求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1、整车性能要求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8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安装要求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必须是列入国家上牌目录的车型，客车整车性能必须符合国家GB7258《机动车运行安全条件》，GB13094《客车结构安全要求》GB 18384《电动汽车安全要求》、GB 38032《电动客车安全要求》等相关客车标准要求，以及投标人在投标书所明示达到的各项技术指标要求。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8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整车技术性能及质量保证指标以及各总成和附件的设计、选型、制造工艺，符合相关未设置乘客站立区的公共汽车技术要求。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客车操作稳定性达到QC/T480《汽车操作稳定性指标限值与评价方法》标准要求。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客车密封性能达到QC/T476《客车防雨密封性限值》标准要求。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车辆安全装置应符合国家法规要求，车辆制动结构应符合GB12676汽车制动系统结构、性能和试验方法的有关规定。如发生安全事故时，经认定属投标人责任的，按法律规定承担一切责任。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客车整车保温隔热材料，各类内饰部件和电器电线（包括电器接插件），阻燃与环保性能必须满足国家和行业相关标准要求。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客车采用优质成型矩形钢管焊接的骨架结构，方基调小圆角车身选型，超大视野的夹胶全景玻璃，结构紧凑，比例协调，线条流畅。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68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投标车型必须投标车型必须已进入国家汽车产品公告，在《免征车辆购置税的新能源汽车车型目录》及《享受车船税减免优惠的节约能源 使用新能源汽车车型目录》内。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8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车辆各项安全设施配置功能和有关标志标示等必须符合国家JT/T 1240、JT/T 1241、CCCF/XFJJ-01、GB/T13094、GB8624、GB38262、JT/T1095、GB5845等标准要求。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8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▲投标车型属于GB13094《客车结构安全要求》国家强制检验报告中所属的B级或III级车。（以国家强制检验报告为准）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1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内容</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技术参数及说明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长（mm）</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8300±100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宽（mm）</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高（mm）</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3400±100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标配最大座位数</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续驶里程（km）</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▲车辆名称</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城市客车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▲车辆外观</w:t>
            </w: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公路客车造型外观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65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8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注：1、续驶里程以国家汽车质量监督检测中心出具的检测报告（整车产品定型）和工信部发布的新能源汽车车辆购置税减免车型目录为依据；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2、整车参数及车辆名称、车辆外观以投标车辆公告为准。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68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3、整车技术配置需求：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w:t>
            </w:r>
          </w:p>
        </w:tc>
        <w:tc>
          <w:tcPr>
            <w:tcW w:w="5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技术配置要求</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电池系统</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▲1、采用优质磷酸铁锂电池，电量不低于190kWh（电池容量以国家汽车质量监督检测中心出具的检测报告（整车产品定型）为依据）；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★2、电芯与电池系统为同一电池生产企业；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池具备1C倍率充电至80%SOC的能力，在质保期内应委托电池制造厂执行专业规范的电池定期维保服务，包括安全检查、性能检测、电池均衡保养等，并对有故障的电池进行处理，在质保期内电池组电量衰减超过15%予以免费技术处理，8年内电池组电量衰减不超过总电量的20%，否则投标人无条件免费更换同品牌全新电池（电池容量衰减由专业第三方检测机构进行检测，检测费用由投标人承担）。一次充满电后，在预留20%电量、在绍兴地区综合路况的情况下，空调开启制冷模式或开启制暖模式、车辆满载情况下实际续驶里程≥200k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4、单位载质量能量消耗量：Ekg≤0.18（投标人提供依据）；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5、电池成组能量密度≥160Wh/kg（能量密度指成组后能量密度，非单体电池能量密度，电池厂家及客车厂家必须提供真实数据，并提供国家汽车质量监督检测中心出具的检测报告（整车产品定型）依据）；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6、配备电池管理系统(BMS)，管理功能如下：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1）具有电池温度、电压、电流、电量的监控功能及加热控制、电池故障分析与在线报警，采用主动均衡技术，满足各种工况要求。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2）为保证车辆收车或长期停放过程中电池系统安全，电池系统要求具备24小时监控系统。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3）满足国家充电技术要求,充电插口必须是国标。具备未拔充电枪车辆不能起步功能、拔枪时灭弧功能。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4）电池管理系统免费质保期不少于8年。电池管理系统要符合国家标准，系统要提供免费升级更新。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5）储存车辆VIN码等相关信息，以使招标人充电桩在车辆充电过程中可读取车辆VIN码等信息，并可与招标人公交车智能充电管理系统进行免费对接；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7、电池安全：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（1）每个电池组内部均串联有保险，在电池失效时可及时断开，配置绝缘监测模块，实时监测每箱电池的绝缘状况，保证电池系统的高压安全。有高压熔断装置（手动及自动两种控制方式）；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动力电池具有防碰撞保护装置并确保电池舱发生碰撞后符合国家标准。电池与整车隔离，绝缘、防火隔热设计，电池仓与客舱之间铺设防火隔热材料，符合GB8624标准“阻燃性能等级，A级不燃”；多重熔断保护，整车高压分级预警系统，高压快断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电池箱标配专用灭火装置，具有热失控预警、火灾报警及火灾抑制等功能的灭火装置，电池箱灭火装置应具有温度传感器、气体分解传感器、烟雾传感器并能实现电解液漏液自动检测报警，在监测到储能装置热失控和火情状况时，以声光报警信号向驾驶员报警。电池箱灭火装置采用投标厂家标配，且需得到选用电池生产制造的安装许可，同时由权威消防研究中心对该产品的试验报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8、电池组冷却系统采用内置空调集成液冷模式，冷却系统风扇电机为进口无刷电机，带进口循环水泵，并接入CAN总线具有提示功能；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9、电池布置形式：电池合理布置，做好车辆重量重心的均衡分布，电池安装位置不低于国家标准，满足涉水深度要求；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防护等级：电池箱、信号连接器不低于国家标准，防水、防尘等级达到IP67或以上的防护等级，满足雨雪天气运营需求及车辆的涉水安全，须提供国家认可检测机构出具的检测报告。具有电池热管理功能，须在冬季可保证有效的充电效率，不得出现冬季低温车辆无法充电情况。动力电池具有良好的防火及散热性能，防止夏季出现高温现象，保证良好的高低温工作性能。动力电池充分考虑绍兴地区的气温变化（适应冬夏温度范围），安装必须散热、防水，并具备极端天气时，自我保护功能和安全提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11、动力电池企业售后服务能力通过国家标准GB/T27922-2011《商品售后服务评价体系》认证并获得五星及以上级别的证书，须提供证明文件。</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动力电池回收处理：投标人必须根据国家相关政策和环保法规对维修、更换及车辆报废时的废旧动力电池（含维修费用）进行免费环保回收（车辆报废时，国家或地方相关法律法规政策及车辆报废回收单位有专门要求的除外），招标人保留动力电池的最终处理权。招标人根据车辆使用报废情况通知投标人，投标人应在接到通知30日内对动力电池进行回收处理并提供环保处理证明。投标人出具相关承诺书。</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4"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驱动电机</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1、采用水冷永磁同步电机，峰值功率≥160KW；（以国家汽车质量监督检测中心出具的检测报告（整车产品定型）为依据）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2、电机直驱，无级变速，驱动电机具备辅助制动功能，同时具有能量回收功能；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3、电机防护等级：IP67或以上防护等级；</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4、电机冷却系统采用厂家标配电子智能冷却控制系统，标配水箱、进口无刷风机；</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整车高压部件控制器</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1、高压电控系统均采用优质控制器，要求控制器高度集成，尽量减少高压连接点；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高压配电箱采用集中配电方式，具有多路保护电路，内置高压接触器、高压熔断器、绝缘检测板等；须匹配MSD开关，保证维护安全；须具有高压互锁功能，保证在突发情况或故障时，能够断开高压；须内置预充电路；须内置绝缘检测电路，具有漏电保护功能；须具有充电保护电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3、车辆操作时杜绝系统发生与操作不符导致车辆失控的情况，突发高压掉断电时仍可以确保转向操作，不得出现突发断电导致方向失控或锁死现象。</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4、整车采用耐高温的辐照阻燃电动车专用电缆，具有屏蔽层，各高压系统具有电磁干扰认证，各高压部件之间不可互相干扰。</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底盘</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1、前桥轴荷4500Kg及以上，后桥轴荷8500Kg及以上；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2、采用标配适合纯电模式驱动的后桥总成，冲压焊接整体式桥壳，差速器总成单级主减速器、主减速齿精磨加工。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3、悬挂：采用厂家标配空气悬挂系统，悬挂系统承载能力必须满足城乡公交运营线路实际需求，平衡杆及连接支架在使用周期内出现断裂等现象，其责任全部由客车投标人承担。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4、采用单节、开式传动轴，最大承载扭矩必须满足城乡公交线路实际运行的特殊要求。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5、轮毂采用进口一体化轴承单元免维护（免维护轮毂总成）。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制动系统：采用厂家标配前后盘式制动，制动灵敏，具有良好的操作稳定性和可靠性；配双回路气制动系统，配带制动阀、回路保护阀、前后继动阀、差动继动阀、冷凝器、空气干燥器。制动系统阀类、ABS均使用进口品牌。配制动过热预警装置，要求与匹配制动系统，不得影响制动效果。配紧急刹车辅助系统（AEBS），要求制动距离、制动减速等性能符合相关标准，以确保在紧急情况下能有效制动；同时要求与防抱死刹车系统、稳定性控制系统等车辆其他安全系统兼容，实现协同工作，且要与驾驶员制动操作相协调，避免不必要的制动干预；且承诺若因AEBS系统原因引起的各类事故由投标人负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7、驻车制动：采用双回路气制动系统，驻车制动采用手控操纵储能弹簧制动，作用于后轮，增设有解除驻车制动控制气路与接口。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8、转向系统：采用厂家标配电动液压转向助力系统，转向助力泵与转向器要匹配。</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9、配置投标人标配无油活塞电动打气泵。</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10、液管路：管路采用优质聚氨酯增强型软管及耐油胶管。管路系统按标准进行保压泄露测试，符合要求，与电线束和油水管分别布置。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气管路：空压机至冷凝器管路采用优质铜管、其余部分亚太管，并根据不同功能采用不同颜色管路进行区分，便于后期维护保养。管路各接口连接可靠，不凹瘪、不扭曲、不坠挂，在车辆运动中不碰擦其它零部件或因抖动出现断裂。管路弯曲或与车身接近部位必须采用固定支架（中间增加防磨损胶垫圈）进行固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12、贮气筒容量：贮气筒总容量满足整车实际需求及公交线路实际使用需求，耐腐蚀。储气筒放水开关采用智能自动放水。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13、配装底盘集中润滑系统，需实现远程监控功能，加入CAN总线，智能ECU液晶监控，具有计数、油压、运行、故障报警、故障诊断等功能,可接入招标人统一的管理平台。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14、采用铝合金轮辋，真空胎轮胎。（每一辆带一个加轮辋备胎配胎压监测）配标配胎压监测系统，胎压监测系统可接入招标人统一的管理平台。配轮胎螺丝防松扣。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15、制动低压报警：设有灯光指示报警和声响报警。</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各类管路（包括各类滤清器）不得与电器和电线、以及客车其它运动部件发生干涉和碰擦，所有管路线束等不得布置在底架下方（不得低于底架平面）。电线束、气管必须分列敷设，不得混扎一起，便于维修检查。</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一、前、后桥推荐品牌：参照或相当于东风德纳桥或方盛或ZF。</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二、轮胎推荐品牌：参照或相当于佳通或倍耐力或米其林或普利司通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3"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6"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电器系统</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全车线路控制采用标配三级CAN总线，连接各类控制系统及传感器，底盘部分接制动气路、集中润滑控制，车身部分接上下客门、除霜机、空调、灯光、仪表、喇叭、倒车监视等控制，CAN总线必须提供485输出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2、整车集中配电板安装在防水、防潮、防尘及便于检修的安全位置。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蓄电池仓必须单独设立，与控制盒等电器元件完全隔绝，并与车身具有密封结构，采用推拉或旋转式安装支架，底座留有排水孔；蓄电池架要求旋转或推拉方便，固定锁止可靠，易于清洁和维护；总电源开关在充电口附近单独设计小门，方便充电时断开电源总开关，提高充电安全性与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器线路：整车电器、电器线路、接插件和熔断器必须符合国家相关标准要求。所有电线采用耐高温（125℃）、辐照交联阻燃型电线，底盘电线和电线束外加套阻燃波纹管，所有电线接插件采用进口产品（底盘部分要求防水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5、电线和电线束走向及安装应规范，布置整齐，接头牢固并有绝缘护套，电线和线束安装固定扣攀。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线和电线束不得与客车其它零部件发生碰擦，并避开发热零部件。电线和电线束与车身接触处用阻尼胶固定，电线和电线束穿越孔洞时必须装设防磨损胶垫圈和绝缘护套，进入车身的暗线必须加套阻燃绝缘管安装并可靠固定，整车电线主线部分不得采用拼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7、车辆前部（仪表台附近）电器线路需预留部分备用线路或接线柱，并且接线柱或插接件前端有保险装置。以备车辆增加临时用电器的需求。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8、灯光、照明装置，信号装置、开关的布置符合相关法规的要求。前后灯具维护方便，安全可靠，具有角度可调装置。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9、车厢顶部示宽灯采用内嵌式，车内上下踏步灯安装在踏步内。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10、车厢内灯采用铝合金全景风道内置LED灯源，前后贯通，厢灯采用三档分段交叉控制。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11、采用一体式仪表系统，在仪表显示面板上要有故障“闪码”显示功能。驻车制动气压指示应与后轮制动气压指示的仪表应在同一仪表里显示。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12、CAN总线控制模块的安装必须满足防尘、防水、防静电的要求。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13、安装可打印式行车记录仪。</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专用线路：IC卡POS机、多媒体报站器、车载监控系统、调度终端、安全卫士、客门(倒车)监视器电源线路采用双线制，要求焊接专用接地线，并配接线排，确保安全可靠，电源从主配电板单独接入，并独立安装保险丝。IC卡POS机电源线、调度终端、车载监控电源为总闸控制电源，其余电器均以仪表总开关控制电源。 </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底架</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1、车辆纵梁和车身骨架应有足够的强度，抗扭、抗弯性能好。充分考虑城乡公交车辆实际运行的特殊要求，以及绍兴路桥高低落差大的道路条件。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2、底骨架焊接处应有两次防腐处理。下表面应防石击漆涂处理。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3、前后桥轮毂区域应有两层密封防腐处理。保证骨架不外露。</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4、在前、后桥附近底部空间，应根据车辆底架结构特点，设置承重梁。在车身左右侧设有多个支车点，并设置支车点标记。</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车辆纵梁前部适当位置应设置拖钩，拖钩及连接部位骨架、连接方式应满足车辆拖动施救的需求，要求使用方便，拖拉固定可靠。同时纵梁前部区域的各类管路、线束的布置应充分考虑拖车时的运动干涉，以免损坏。</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2178"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1、车身骨架采用高强度优质矩形钢管拼焊，整车采用阴极电泳防腐（车身及底盘）工艺或采用铝合金车身，并保证8年以上不锈蚀，充分考虑绍兴地区的潮湿性气候的特点。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2、整车防漏水、漏灰及密封性能良好。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3、车身外侧：采用涨拉蒙皮结构，顶盖蒙皮之间的连接采用搭接方式，侧围蒙皮之间的连接采用对接方式。蒙皮采用优质耐腐镀锌钢板（厚度不小于1 mm），全部蒙皮均经过除污、防锈、磷化处理或选用已做防腐处理的板材。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4、骨架与蒙皮、骨架与地板等接合缝处采用聚氨脂密封胶进行密封防水防锈处理。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5、车身顶棚骨架间距不大于900mm。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6、前后门骨架及上方应加强，必要时加焊加强铁板、厚度不小于3mm。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客车整车采用聚氨酯发泡进行隔热处理。所有隔热填充材料必须符合国家相关标准要求，具有安全、环保、阻燃和无异味等性能，阻燃性能要求能达到相关标准最高等级。车身骨架间聚氨脂发泡厚度不得小于30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8、车厢内侧板采用优质硬性低发泡型PVC板材。内顶板采用打孔型铝塑板，颜色与空调风道、前后围内饰板的颜色一致或相近。内顶板与空调风道、回风窗等各部位接口应确保安装牢固、接口平整无缝隙。</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身左右侧边门采用铝合金材料、翻开式，开启角度不低于150°，机械锁和液压支撑杆检修门结构，并装有胶垫防震、检修门铰链。要求舱门美观牢固，开启方便，锁止可靠，门与车身蒙皮缝隙均匀，液压撑杆支撑力要满足支撑检修门要求，确保安全稳定，在侧围检修门和客车骨架之间增装保险绳（挂钩或钢丝绳或链）。为方便雨刷器等部件的检修与拆装，客车前围为开启式前围，提高维保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10、凡需检修的部位都应开设工作门或检修窗。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驾驶区、仪表台：按照国家JT/T1241标准安装驾驶区防护隔离设施，仪表台和仪表与开关、监视器、报站器布置要方便司机操作使用，顶灯、车厢灯、电子路牌单独安装开关，不常用的操纵开关可布置在司机左侧；仪表台上安装驾驶员喊话器及插口；前后门未关时仪表台有报警灯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12、驾驶室安装带锁证件箱，配置茶杯架；驾驶室不安装收音机；驾驶员左上侧安装电扇（小风扇）。</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13、乘客可触及的车身内外部件、构件都不应有尖角和锐边；乘客门上面的导水槽不应有尖角和锐边，以免影响自动洗车机。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14、安装隐藏式拖把箱及分类垃圾桶。（由投标人提供样式，招标人选择）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15、车厢安装一只车顶逃生窗。确保密闭性良好，不漏水。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16、车身油漆采用进口或投标人标配油漆。</w:t>
            </w:r>
          </w:p>
        </w:tc>
        <w:tc>
          <w:tcPr>
            <w:tcW w:w="1358" w:type="dxa"/>
            <w:vMerge w:val="restart"/>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6"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4"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地板</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采用大平面环保阻燃PVC地板，阻燃性能要求能达到相关标准最高等级，厚度不小于18MM，地板与客车底架采用胶水及专用螺栓连接，铺设区客车底架横梁加密、地板及座椅固定螺栓要求连接在横梁或替板上、紧固可靠（8年内不发生地板拱起，螺栓松脱开现象），地板各连接缝、地板与车身的接缝处应涂密封胶。整车采用厂家标配耐磨防滑石英沙城市客车专用地板革，地板与地板革采用进口高强度防水专用地板革胶粘接，做到不脱胶、不起泡、不开裂。地板革与地板是采用焊接拼接，接缝处剔割平整。乘客门踏步区域采用黄色踏步专用地板革，应有“站立禁区”字样。</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2、地板应设有检修孔和盖板，方便维修。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3、整车采用三级踏步制式。通道宽度符合国家标准。</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4、车厢内各阴阳角拼缝处采用铝合金型材拼压或地板革焊接工艺，直角拼缝处采用磨光45°对接，圆弧拼缝处则可采用成型或锯齿状弯曲拼压，确保拼压平整贴服。</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门窗及玻璃</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1、车门为厂家标配乘客门，加强型铝合金门板，门玻璃为钢化玻璃，乘客门下带防夹脚设置。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2、乘客门关闭时应装有气囊防夹缓冲装置。门轴应装防护装置并设置铝制铆钉固定的防夹提示牌。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3、为确保安全性，设置开门信号灯，只有在门都关好的情况下，信号灯才关闭，车辆才可启动，该信号灯为左右危险信号灯；车速达到5码以上车门不能打开。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4、全车应有门锁装置。各类锁具（除上下客门锁）要求规格统一，为了便于日常管理要求所有锁具可由统一的一把钥匙（三角锁）打开。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5、门泵驱动系统采用电控气动方式，门泵自带控制器，在仪表台适当位置设置乘客门应急打开气动控制阀开关，并在每个乘客门内外处和车外必须装紧急开关，以备紧急使用；门泵带自动气水分离装置。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6、边窗玻璃：粘贴式内藏推拉窗，推拉窗部分尽量大。边窗玻璃采用纳米隔热工艺，透光率51%，有明显隔热隔光玻璃标识。符合GB 9656-2021《机动车玻璃安全技术规范》的要求，左侧第一扇驾驶室窗玻璃为高透光玻璃，玻璃的可见光透射比应不小于95%，可见光反射比应不大于1.5%，前半扇可移动，后半扇固定；右侧安装路牌处对应部分玻璃为透明。玻璃和侧窗与车身骨架采用原装进口粘合胶粘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7、前挡风玻璃：采用全景整体夹胶安全玻璃。后挡风玻璃：采用整体式钢化安全玻璃。挡风玻璃涂黑部分尺寸必须满足后视镜视角和电子路牌显示要求。雨刮器刮刷面积满足驾驶员视野需求。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8、驾驶座左、前方安装下拉式活动遮阳帘。</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7"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座椅及扶手杆</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座椅布置：要求客车座椅均应配备伸缩式安全带并纵向布置（与车辆前进的方向相同），符合GB7258-2017《机动车运行安全条件》国家级强制检验报告中乘客座椅及固定件的强度应符合GB13057的规定要求。（需提供整车实际安装座椅布置图及机动车安全运行强制性项目检验报告证明）。</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2、厂家标配座椅皮质软座、易清洁、乘坐舒适。安装橙色照顾座椅，并安装爱心标识；安装军人专座；具体数量和位置由招标人确定。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3、整车采用铝合金扶手管，表面安装橡胶扶套，扶手套要求用螺钉固定确保不能滑动；扶手各连接部位的螺栓加保护套。整车直扶手与直扶手之间采用错距安装，最大限度地确保车厢内部通道宽度。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4、乘客门区域应安装扶栏，但不得影响有效通道宽度。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5、靠窗座椅外侧应加装扶栏以保证安全。在符合国家标准的基础上，尽量扩大逃生出口面积。</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6、车内前后尽量多的安装有线下车门铃，门铃声音大小符合日常需求，要求即按即响，并具有语音提示功能，同时在车内内视镜上方安装汉化型提示灯。</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后视镜和喇叭</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1、安装手动左短右长杆式倒车镜，配电除雾，设置开关且熄火后可自动切断，装可调节下视镜，支承牢固，车辆行驶时不应有明显的抖动，视野清晰。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2、安装双蜗牛电喇叭。</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3、安装可调节后视镜，不带时间、温度显示。</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后仓</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1、后仓应采用良好的隔热、隔振、阻燃、降噪音材料和阻燃灭火措施，要求能达到相关标准最高等级，开启通风良好，有利于散热。</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2、后仓区域内各类元器件、控制器布局合理，便于检修。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3、后仓内、后仓门合理安装加强防撞梁，做好防撞措施。</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4、后仓内合理安装灭火装置，要求符合国家JT/T 1240 标准。</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空调系统</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1、配纯电动专用冷暖一体式车载空调，最大制冷量24000大卡以上，进口压缩机、冷凝风机和蒸发风机，冷凝器和蒸发器采用优质铜芯，进口干燥器和阀类、进口接插件，连接管路采用优质铜管。</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2、车厢冷风道采用全景式铝合金风道结构形式，方便拆洗和检修，同时需考虑驾驶区域出风量。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3、标配风道外观平顺美观，接口平整固定可靠，检修口设置合理、检修方便，开启、锁止方便可靠。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4、冷风道不得与前、后路牌窗贯通，表面平整圆顺，固定安装可靠。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5、在空调蒸发器出风口处的顶盖蒙皮设有防水止口，排水管布置必须合理，防止冷凝水入车内。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6、空调机组安装牢固可靠，整机性能稳定，拆装清洁维护方便。前、后车厢及驾驶区各部温度均匀一致。风道内增设导流板，确保冷风有效引入车厢。</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7、车厢内安装电除霜装置，驾驶员处有出风口，便于驾驶员脚部取暖。</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空调推荐品牌：参照或相当于松芝或大冷王或精益。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服务系统</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1、多媒体报站器和下客门监视器釆用嵌入式。监视器安装在司机仪表台右侧，多媒体报站器安装在监视器下方立面处（斜置）。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2、车辆内部前端安装车内屏，要求字数最大化，红色，与报站器联动，显示当前站及下一站信息，也可显示相关文明用语信息。仪表台设有独立开关。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19寸车内广告机1只（具体位置由招标人确定），要求广告机内容具有远程多媒体视频、图文发布功能，具有安全加密功能，阻止第三方篡改播放内容，同时能接入招标人现有集中发布平台。车厢内布置喇叭，左右间隔布置，用于报站器、多媒体，并配置报站器专用外喇叭一只，同时由客车厂配置喊话器及插座与报站器外喇叭连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4、在前门附近扶手立杆上设儿童身高限位标尺。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5、车内设置司机工具箱、车内外标识等服务设施，由招标人提供技术要求，投标人设计、安装。车头车尾安装“绍兴公交”标识。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载监控系统和调度终端统一安装在电子设备箱中，电子设备箱中必须有长电、ACC控制电源、总闸控制电源等三组电源线，以满足车载监控系统和调度终端需要。电子设备箱原则上安装在驾驶员座位后面。（车载监控系统上下客门及驾驶区域的监控装置安装位置由招标人确认后安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7、全景式铝合金风道司机正上方不带灯源，风道广告域窗口内容根据招标人实际需求确定。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8、车辆设置司机左脚放置垫。</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9、系统集成：车载监控系统、调度终端、电子路牌、安全卫士、车门及倒车监视器均需和多媒体报站系统所连接，客车厂负责线束及线路的制作设计、并调试。</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安装标配小型化智能电子投币机（配三个电子内胆），具有外箱电动开锁、内胆电动开锁、投币计数等功能，储币量要求达到600元以上；在投币机旁设POS机（预敷设IC卡POS机电源线、POS机支架，直接从蓄电池引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11、设置语音提示功能，可调节音量可开关，车辆启动、转向、倒车、低速时有语音提醒播报功能，开关设置在仪表台上，车辆启动对内播报，车辆转向、倒车对外播报，低速声音报警可对内对外播报。</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12、车内座椅旁合理安装适当数量的USB充电接口。</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车载监控系统、调度终端、POS机、多媒体报站、安全卫士、车内屏、导乘屏由招标人提供型号及位置布置，车辆制造厂家负责安装调试。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6"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车身涂装</w:t>
            </w:r>
          </w:p>
        </w:tc>
        <w:tc>
          <w:tcPr>
            <w:tcW w:w="5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车身颜色、图案、标识由投标人提投标方案再经招标人确认。</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智能安全配置</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1、要求配有电子驻车、制动防抱死装置（ABS）、上坡辅助（HSA）、驱动防滑（Y-ASR）、复合制动（CBS）、停车制动（AutoHold）、24小时电池监控系统、油门防误踩功能、充电多层安全防护装置等智能安全配置。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子后视镜系统：车内右A柱上单侧安装12.3寸电子后视镜；采用上下分屏结构，要求可显示两侧A柱盲区和前方盲区，亮度自动调节，具备夜间自动补光，防眩光功能。采用车规级操作系统，冷启动速度≤2秒，图像分辨率1280P以上，画面流畅，帧数≥50桢，延迟≤60毫秒，与车载视频监控主机对接存储；要求固定牢固，车辆正右前方及右侧视野清晰，安装位置不能遮挡车外倒车镜及乘客门，不影响驾驶员视野及日常行车安全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360°全景环视系统，该系统由全景环视主机及环视摄像机组成的影像式行车安全辅助系统，能够利用安装的摄像头获取影像，通过成熟的算法处理，输出全景环视图像，并接入到车载监控系统，同时能在车载监控屏中显示，该系统须与招标人集中监控平台实现无缝对接，能在集中监控平台中进行预览、回放等操作。</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4、安装车载新能源智慧终端，可监控、查询车辆实时状态和各类数据，支持多策略数据上传，预留数据通讯接口，可提供数据协议，能接入招标人管理平台，并可根据招标人实际需求免费更新升级。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5、车内驾驶区域安装车辆安全卫士。（具体布局按招标人习惯布置）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6、车厢内按国家JT/T1240标准安装标配危险气体报警装置。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7、整车侧窗左右两侧安装电动击窗器（爆破器），带翻盖报警功能，每车安装五处，左三右二，布置相关说明，以便在发生紧急情况时，可及时顺利逃生。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8、车内带压力表水基型4公斤灭火器4只（配筒式固定座）。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9、车厢内每扇车窗安装带钢丝及蜂鸣防盗安全锤（其中1把安装在驾驶室），并在车窗玻璃上根据国标要求注明安全锤敲击点及逃生窗口图示。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10、控制仓、电池仓、高压仓内合理安装自动灭火装置。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11、安装铝制安全提示牌（具体内容由招标人确定）。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12、配置驾驶员未系安全带提醒。</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13、车身左右两侧应至少各配备1个外推式应急应急窗。</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注：以上各项如国家JT/T1240标准中有要求的，须按标准要求执行。</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4"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其他</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1、随车工具：少于5辆车的赠送2套，之后每增加5辆车多赠送1套（不到5辆按5辆算）。</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2、随车资料。</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3、车内布置驾驶员茶杯支架、手机袋、证件盒。</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4、每车提供两套底盘号及电机号拓印，拓印件必须用铅笔和专用拓印纸进行拓印，字体清楚；</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5、后档无客车销售等广告；</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6、随车配三角警告牌。</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7、车内警示牌均要求采用铝制。</w:t>
            </w:r>
          </w:p>
          <w:p>
            <w:pPr>
              <w:keepNext w:val="0"/>
              <w:keepLines w:val="0"/>
              <w:widowControl/>
              <w:suppressLineNumbers w:val="0"/>
              <w:shd w:val="clear"/>
              <w:jc w:val="both"/>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8、本表未注明配置和质量必须符合国家及行业相关标准。</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6" w:hRule="atLeast"/>
        </w:trPr>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质保要求</w:t>
            </w:r>
          </w:p>
        </w:tc>
        <w:tc>
          <w:tcPr>
            <w:tcW w:w="5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免费质保4年（含零部件），零部件质保以车辆出厂《保修手册》为基准与整车质保同比例提升（超出8年的按8年执行），例：车辆出厂《保修手册》中整车质保期限为24个月，雨刮片质保期限为3个月，以整车免费质保8年计算，雨刮片质保要求提升至96÷24×3=12个月，零部件质保已明确要求的除外。质保期限自车辆上完牌照后开始计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纯电动系统电池组（含附属件）、BMS及电池组液冷系统、电池组灭火装置要求质保8年（含易损件、易耗件），质保期内日常的维护保养材料、人工等由投标人负责，同时投标人承诺提供每季度一次及重大节假日、重要活动对纯电动系统电池组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纯电动系统驱动电机及附属件要求质保8年（含易损件、易耗件），质保期内日常的维护保养材料、人工等由投标人负责，同时投标人承诺提供每季度一次及重大节假日、重要活动对纯电动系统驱动电机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4、电机冷却系统要求质保8年（含易损件、易耗件），质保期内日常的维护保养材料、人工等由投标人负责，同时投标人承诺提供定期及重大节假日、重要活动及按招标人要求对电机冷却系统的安全检查。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纯电动系统高压电控系统及附属件（包括但不限于高压配电柜及柜内附件、直流转换器、电动助力转向控制器、驱动电机控制器、空压机控制器）要求质保8年（含易损件、易耗件），质保期内日常的维护保养材料、人工等由投标人负责，同时投标人承诺提供每季度一次及重大节假日、重要活动纯电动系统高压控制器及附属件（包括但不限于高压配电柜、直流转换器、电动助力转向控制器、驱动电机控制器、空压机控制器）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6、电动打气泵要求质保8年（含易损件、易耗件），质保期内日常的维护保养材料、人工等由投标人负责，同时投标人承诺提供定期及重大节假日、重要活动及按招标人要求对电动打气泵的安全检查。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7、前后桥总成要求质保8年（含易损件、易耗件）。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8、空气悬架系统质保8年（含易损件、易耗件）。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9、免维护轮毂总成要求质保8年（含易损件、易耗件）。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10、电动液压转向系统(包括但不限于方向机、助力泵、电机、直流转换器)要求质保8年（含易损件、易耗件）。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11、底盘集中润滑系统要求质保8年（含易损、易耗件）。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12、制动系统刹车总成要求主体结构件质保8年、易损件质保3年或以上。同时还需出具如因刹车咬死、发热造成的相应部件（包括免维护轮毂）损坏，由投标人全额承担损失的承诺书。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13、铝合金轮辋要求质保8年（外力损伤除外）。</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14、胎压监测系统要求质保8年。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15、CAN总线（含仪表）要求质保8年。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16、车身车架防腐要求质保8年。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17、驾驶区防护隔离设施要求质保8年。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17、车顶逃生窗及逃生门要求质保8年。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19、PVC地板及地板革要求质保8年。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20、后视镜电除雾要求质保8年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21、乘客门总成（含门泵等，含易损、易耗件）要求质保8年。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22、座椅（含驾驶员座椅）要求质保8年。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23、铝合金扶手要求质保8年。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24、侧窗玻璃要求质保8年（含总成件、所属配件、易损件及工时）。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25、车载空调要求质保8年。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26、全景式铝合金风道要求质保8年。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27、车顶防漏要求质保8年。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28、除霜装置要求质保8年。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29、车内屏要求质保8年。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30、车内广告机要求质保8年。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31、电子投币机要求质保8年。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32、语音提示设备要求质保8年。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35、电子后视镜系统要求质保8年。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36、360°全景环视系统要求质保8年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34、危险气体报警装置要求质保8年。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35、电动击窗器要求质保8年。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36、投标人投标时承诺控制仓、高压仓、电池仓自动灭火装置8年保质期内有效期到期前免费更换的承诺书。</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7"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6"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0" w:type="auto"/>
            <w:gridSpan w:val="3"/>
            <w:tcBorders>
              <w:top w:val="single" w:color="000000" w:sz="4" w:space="0"/>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注：1、招标车辆技术要求有国家相关要求的，以国家最新标准要求为准。</w:t>
            </w:r>
          </w:p>
        </w:tc>
        <w:tc>
          <w:tcPr>
            <w:tcW w:w="1358" w:type="dxa"/>
            <w:tcBorders>
              <w:top w:val="single" w:color="000000" w:sz="4" w:space="0"/>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322" w:type="dxa"/>
            <w:gridSpan w:val="3"/>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2、招标车辆技术要求如前后有冲突或与现实情况不相符，以招标人实际需求为准。</w:t>
            </w:r>
          </w:p>
        </w:tc>
        <w:tc>
          <w:tcPr>
            <w:tcW w:w="1358"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bl>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tbl>
      <w:tblPr>
        <w:tblStyle w:val="64"/>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8"/>
        <w:gridCol w:w="2196"/>
        <w:gridCol w:w="5117"/>
        <w:gridCol w:w="1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trPr>
        <w:tc>
          <w:tcPr>
            <w:tcW w:w="96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标项六：名称：6米级纯电无站立公交客车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 数量：3辆   用途：城乡线路运营（客货邮）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（一）招标车辆技术要求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96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1、整车性能要求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86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安装要求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必须是列入国家上牌目录的车型，客车整车性能必须符合国家GB7258《机动车运行安全条件》，GB13094《客车结构安全要求》GB 18384《电动汽车安全要求》、GB 38032《电动客车安全要求》等相关客车标准要求，以及投标人在投标书所明示达到的各项技术指标要求。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86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整车技术性能及质量保证指标以及各总成和附件的设计、选型、制造工艺，符合相关未设置乘客站立区的公共汽车技术要求。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客车操作稳定性达到QC/T480《汽车操作稳定性指标限值与评价方法》标准要求。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客车密封性能达到QC/T476《客车防雨密封性限值》标准要求。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车辆安全装置应符合国家法规要求，车辆制动结构应符合GB12676汽车制动系统结构、性能和试验方法的有关规定。如发生安全事故时，经认定属投标人责任的，按法律规定承担一切责任。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客车整车保温隔热材料，各类内饰部件和电器电线（包括电器接插件），阻燃与环保性能必须满足国家和行业相关标准要求。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客车采用优质成型矩形钢管焊接的骨架结构，方基调小圆角车身选型，超大视野的夹胶全景玻璃，结构紧凑，比例协调，线条流畅。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65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投标车型必须投标车型必须已进入国家汽车产品公告，在《免征车辆购置税的新能源汽车车型目录》及《享受车船税减免优惠的节约能源 使用新能源汽车车型目录》内。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86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车辆各项安全设施配置功能和有关标志标示等必须符合国家JT/T 1240、JT/T 1241、CCCF/XFJJ-01、GB/T13094、GB8624、GB38262、JT/T1095、GB5845等标准要求。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86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▲投标车型属于GB13094《客车结构安全要求》国家强制检验报告中所属的B级或III级车。（以国家强制检验报告为准）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1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内容</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技术参数及说明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长（mm）</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6800±100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▲宽（mm）</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2200±100（带反光镜≤2640）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高（mm）</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标配最大座位数</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续驶里程（km）</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▲车辆名称</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城市客车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▲车辆外观</w:t>
            </w: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公交造型外观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65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86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注：1、续驶里程以国家汽车质量监督检测中心出具的检测报告（整车产品定型）和工信部发布的新能源汽车车辆购置税减免车型目录为依据；</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2、整车参数及车辆名称、车辆外观以投标车辆公告为准。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40" w:type="dxa"/>
            <w:gridSpan w:val="4"/>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3、整车技术配置需求：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w:t>
            </w:r>
          </w:p>
        </w:tc>
        <w:tc>
          <w:tcPr>
            <w:tcW w:w="5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技术配置要求</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电池系统</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▲1、采用优质磷酸铁锂电池，电量不低于150kWh（电池容量以国家汽车质量监督检测中心出具的检测报告（整车产品定型）为依据）；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★2、电芯与电池系统为同一电池生产企业；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池具备1C倍率充电至80%SOC的能力，在质保期内应委托电池制造厂执行专业规范的电池定期维保服务，包括安全检查、性能检测、电池均衡保养等，并对有故障的电池进行处理，在质保期内电池组电量衰减超过15%予以免费技术处理，8年内电池组电量衰减不超过总电量的20%，否则投标人无条件免费更换同品牌全新电池（电池容量衰减由专业第三方检测机构进行检测，检测费用由投标人承担）。一次充满电后，在预留20%电量、在绍兴地区综合路况的情况下，空调开启制冷模式或开启制暖模式、车辆满载情况下实际续驶里程≥250k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4、单位载质量能量消耗量：Ekg≤0.18（投标人提供依据）；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5、电池成组能量密度≥160Wh/kg（能量密度指成组后能量密度，非单体电池能量密度，电池厂家及客车厂家必须提供真实数据，并提供国家汽车质量监督检测中心出具的检测报告（整车产品定型）依据）；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6、配备电池管理系统(BMS)，管理功能如下：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1）具有电池温度、电压、电流、电量的监控功能及加热控制、电池故障分析与在线报警，采用主动均衡技术，满足各种工况要求。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2）为保证车辆收车或长期停放过程中电池系统安全，电池系统要求具备24小时监控系统。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3）满足国家充电技术要求,充电插口必须是国标。具备未拔充电枪车辆不能起步功能、拔枪时灭弧功能。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4）电池管理系统免费质保期不少于8年。电池管理系统要符合国家标准，系统要提供免费升级更新。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5）储存车辆VIN码等相关信息，以使招标人充电桩在车辆充电过程中可读取车辆VIN码等信息，并可与招标人公交车智能充电管理系统进行免费对接；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7、电池安全：</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（1）每个电池组内部均串联有保险，在电池失效时可及时断开，配置绝缘监测模块，实时监测每箱电池的绝缘状况，保证电池系统的高压安全。有高压熔断装置（手动及自动两种控制方式）；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动力电池具有防碰撞保护装置并确保电池舱发生碰撞后符合国家标准。电池与整车隔离，绝缘、防火隔热设计，电池仓与客舱之间铺设防火隔热材料，符合GB8624标准“阻燃性能等级，A级不燃”；多重熔断保护，整车高压分级预警系统，高压快断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电池箱标配专用灭火装置，具有热失控预警、火灾报警及火灾抑制等功能的灭火装置，电池箱灭火装置应具有温度传感器、气体分解传感器、烟雾传感器并能实现电解液漏液自动检测报警，在监测到储能装置热失控和火情状况时，以声光报警信号向驾驶员报警。电池箱灭火装置采用投标厂家标配，且需得到选用电池生产制造的安装许可，同时由权威消防研究中心对该产品的试验报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8、电池组冷却系统采用内置空调集成液冷模式，冷却系统风扇电机为进口无刷电机，带进口循环水泵，并接入CAN总线具有提示功能；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9、电池布置形式：电池合理布置，做好车辆重量重心的均衡分布，电池安装位置不低于国家标准，满足涉水深度要求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防护等级：电池箱、信号连接器不低于国家标准，防水、防尘等级达到IP67或以上的防护等级，满足雨雪天气运营需求及车辆的涉水安全，须提供国家认可检测机构出具的检测报告。具有电池热管理功能，须在冬季可保证有效的充电效率，不得出现冬季低温车辆无法充电情况。动力电池具有良好的防火及散热性能，防止夏季出现高温现象，保证良好的高低温工作性能。动力电池充分考虑绍兴地区的气温变化（适应冬夏温度范围），安装必须散热、防水，并具备极端天气时，自我保护功能和安全提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11、动力电池企业售后服务能力通过国家标准GB/T27922-2011《商品售后服务评价体系》认证并获得五星及以上级别的证书，须提供证明文件。</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动力电池回收处理：投标人必须根据国家相关政策和环保法规对维修、更换及车辆报废时的废旧动力电池（含维修费用）进行免费环保回收（车辆报废时，国家或地方相关法律法规政策及车辆报废回收单位有专门要求的除外），招标人保留动力电池的最终处理权。招标人根据车辆使用报废情况通知投标人，投标人应在接到通知30日内对动力电池进行回收处理并提供环保处理证明。投标人出具相关承诺书。</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5"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3"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驱动电机</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1、采用水冷永磁同步电机，峰值功率≥150KW；（以国家汽车质量监督检测中心出具的检测报告（整车产品定型）为依据）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2、电机直驱，无级变速，驱动电机具备辅助制动功能，同时具有能量回收功能；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3、电机防护等级：IP67或以上防护等级；</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4、电机冷却系统采用厂家标配电子智能冷却控制系统，标配水箱、进口无刷风机；</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整车高压部件控制器</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1、高压电控系统均采用优质控制器，要求控制器高度集成，尽量减少高压连接点；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高压配电箱采用集中配电方式，具有多路保护电路，内置高压接触器、高压熔断器、绝缘检测板等；须匹配MSD开关，保证维护安全；须具有高压互锁功能，保证在突发情况或故障时，能够断开高压；须内置预充电路；须内置绝缘检测电路，具有漏电保护功能；须具有充电保护电路。</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3、车辆操作时杜绝系统发生与操作不符导致车辆失控的情况，突发高压掉断电时仍可以确保转向操作，不得出现突发断电导致方向失控或锁死现象。</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4、整车采用耐高温的辐照阻燃电动车专用电缆，具有屏蔽层，各高压系统具有电磁干扰认证，各高压部件之间不可互相干扰。</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底盘</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1、前桥轴荷3500Kg及以上，后桥轴荷5000Kg及以上；</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2、采用标配适合纯电模式驱动的后桥总成，冲压焊接整体式桥壳，差速器总成单级主减速器、主减速齿精磨加工。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3、悬挂：采用厂家标配空气悬挂系统，配装进口减震器，悬挂系统承载能力必须满足城乡运营线路实际需求，平衡杆及连接支架在使用周期内出现断裂等现象，其责任全部由客车投标人承担。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4、采用单节、开式传动轴，最大承载扭矩必须满足城乡线路实际运行的特殊要求。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5、轮毂采用进口一体化轴承单元免维护（免维护轮毂总成）。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制动系统：采用厂家标配前后盘式制动，制动灵敏，具有良好的操作稳定性和可靠性；配双回路气制动系统，配带制动阀、回路保护阀、前后继动阀、差动继动阀、冷凝器、空气干燥器。制动系统阀类、ABS均使用进口品牌。配制动过热预警装置，要求与匹配制动系统，不得影响制动效果。</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7、驻车制动：采用双回路气制动系统，驻车制动采用手控操纵储能弹簧制动，作用于后轮，增设有解除驻车制动控制气路与接口。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8、转向系统：采用厂家标配电动液压转向助力系统，转向助力泵与转向器要匹配。</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9、配置投标人标配无油活塞电动打气泵</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10、液管路：管路采用优质聚氨酯增强型软管及耐油胶管。管路系统按标准进行保压泄露测试，符合要求，与电线束和油水管分别布置。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气管路：空压机至冷凝器管路采用优质铜管、其余部分亚太管，并根据不同功能采用不同颜色管路进行区分，便于后期维护保养。管路各接口连接可靠，不凹瘪、不扭曲、不坠挂，在车辆运动中不碰擦其它零部件或因抖动出现断裂。管路弯曲或与车身接近部位必须采用固定支架（中间增加防磨损胶垫圈）进行固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12、贮气筒容量：贮气筒总容量满足整车实际需求及公交线路实际使用需求，耐腐蚀。储气筒放水开关采用智能自动放水。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13、配装标配底盘集中润滑系统，需实现远程监控功能，加入CAN总线，智能ECU液晶监控，具有计数、油压、运行、故障报警、故障诊断等功能,可接入招标人统一的管理平台。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14、采用标配铝合金轮辋，真空胎轮胎。（每一辆带一个加轮辋备胎配胎压监测）配标配胎压监测系统，胎压监测系统可接入招标人统一的管理平台。配轮胎螺丝防松扣。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15、制动低压报警：设有灯光指示报警和声响报警。</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各类管路（包括各类滤清器）不得与电器和电线、以及客车其它运动部件发生干涉和碰擦，所有管路线束等不得布置在底架下方（不得低于底架平面）。电线束、气管必须分列敷设，不得混扎一起，便于维修检查。</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一、前、后桥推荐品牌：参照或相当于东风德纳桥或方盛或ZF。</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二、轮胎推荐品牌：参照或相当于佳通或倍耐力或米其林或普利司通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5"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电器系统</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全车线路控制采用标配三级CAN总线，连接各类控制系统及传感器，底盘部分接制动气路、集中润滑控制，车身部分接上下客门、除霜机、空调、灯光、仪表、喇叭、倒车监视等控制，CAN总线必须提供485输出接口。</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2、整车集中配电板安装在防水、防潮、防尘及便于检修的安全位置。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蓄电池仓必须单独设立，与控制盒等电器元件完全隔绝，并与车身具有密封结构，采用推拉或旋转式安装支架，底座留有排水孔；蓄电池架要求旋转或推拉方便，固定锁止可靠，易于清洁和维护；总电源开关在充电口附近单独设计小门，方便充电时断开电源总开关，提高充电安全性与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器线路：整车电器、电器线路、接插件和熔断器必须符合国家相关标准要求。所有电线采用耐高温（125℃）、辐照交联阻燃型电线，底盘电线和电线束外加套阻燃波纹管，所有电线接插件采用进口产品（底盘部分要求防水型）。</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5、电线和电线束走向及安装应规范，布置整齐，接头牢固并有绝缘护套，电线和线束安装固定扣攀。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线和电线束不得与客车其它零部件发生碰擦，并避开发热零部件。电线和电线束与车身接触处用阻尼胶固定，电线和电线束穿越孔洞时必须装设防磨损胶垫圈和绝缘护套，进入车身的暗线必须加套阻燃绝缘管安装并可靠固定，整车电线主线部分不得采用拼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7、车辆前部（仪表台附近）电器线路需预留部分备用线路或接线柱，并且接线柱或插接件前端有保险装置。以备车辆增加临时用电器的需求。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8、灯光、照明装置，信号装置、开关的布置符合相关法规的要求。前后灯具维护方便，安全可靠，具有角度可调装置。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9、车厢顶部示宽灯采用内嵌式，车内上下踏步灯安装在踏步内。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10、车厢内灯采用LED灯源，采用三档分段交叉控制。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11、采用一体式仪表系统，在仪表显示面板上要有故障“闪码”显示功能。驻车制动气压指示应与后轮制动气压指示的仪表应在同一仪表里显示。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12、CAN总线控制模块的安装必须满足防尘、防水、防静电的要求。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13、安装可打印式行车记录仪。</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14、专用线路：IC卡POS机、多媒体报站器、车载监控系统、调度终端、安全卫士、客门(倒车)监视器电源线路采用双线制，要求焊接专用接地线，并配接线排，确保安全可靠，电源从主配电板单独接入，并独立安装保险丝。IC卡POS机电源线、调度终端、车载监控电源为总闸控制电源，其余电器均以仪表总开关控制电源。 </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底架</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1、车辆纵梁和车身骨架应有足够的强度，抗扭、抗弯性能好。充分考虑城乡车辆实际运行的特殊要求，以及绍兴路桥高低落差大的道路条件。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2、底骨架焊接处应有两次防腐处理。下表面应防石击漆涂处理。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3、前后桥轮毂区域应有两层密封防腐处理。保证骨架不外露。</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4、在前、后桥附近底部空间，应根据车辆底架结构特点，设置承重梁。在车身左右侧设有多个支车点，并设置支车点标记。</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车辆纵梁前部适当位置应设置拖钩，拖钩及连接部位骨架、连接方式应满足车辆拖动施救的需求，要求使用方便，拖拉固定可靠。同时纵梁前部区域的各类管路、线束的布置应充分考虑拖车时的运动干涉，以免损坏。</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211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1、车身骨架采用高强度优质矩形钢管拼焊，整车采用阴极电泳防腐（车身及底盘）工艺或采用铝合金车身，并保证8年以上不锈蚀，充分考虑绍兴地区的潮湿性气候的特点。</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2、整车防漏水、漏灰及密封性能良好。</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3、车身外侧：采用涨拉蒙皮结构，顶盖蒙皮之间的连接采用搭接方式，侧围蒙皮之间的连接采用对接方式。蒙皮采用优质耐腐镀锌钢板（厚度不小于1 mm），全部蒙皮均经过除污、防锈、磷化处理或选用已做防腐处理的板材。</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4、骨架与蒙皮、骨架与地板等接合缝处采用聚氨脂密封胶进行密封防水防锈处理。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5、车身顶棚骨架间距不大于900mm。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6、门骨架及上方应加强，必要时加焊加强铁板、厚度不小于3mm。</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7、客车整车采用聚氨酯发泡进行隔热处理。所有隔热填充材料必须符合国家相关标准要求，具有安全、环保、阻燃和无异味等性能，阻燃性能要求能达到相关标准最高等级。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8、车厢内侧板采用优质硬性低发泡型PVC板材。内顶板采用打孔型铝塑板，颜色与空调风道、前后围内饰板的颜色一致或相近。内顶板与空调风道、回风窗等各部位接口应确保安装牢固、接口平整无缝隙。</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身左右侧边门采用铝合金材料、翻开式，开启角度不低于150°，机械锁和液压支撑杆检修门结构，并装有胶垫防震、检修门铰链。要求舱门美观牢固，开启方便，锁止可靠，门与车身蒙皮缝隙均匀，液压撑杆支撑力要满足支撑检修门要求，确保安全稳定，在侧围检修门和客车骨架之间增装保险绳（挂钩或钢丝绳或链）。为方便雨刷器等部件的检修与拆装，客车前围为开启式前围，提高维保便利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10、凡需检修的部位都应开设工作门或检修窗。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驾驶区、仪表台：按照国家JT/T1241标准安装驾驶区防护隔离设施。仪表台和仪表与开关、监视器、报站器布置要方便司机操作使用，顶灯、车厢灯、电子路牌单独安装开关，不常用的操纵开关可布置在司机左侧；仪表台上安装驾驶员喊话器及插口；前后门未关时仪表台有报警灯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12、驾驶室安装带锁证件箱，配置茶杯架；驾驶室不安装收音机；驾驶员左上侧安装电扇（小风扇）。</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13、乘客可触及的车身内外部件、构件都不应有尖角和锐边；乘客门上面的导水槽不应有尖角和锐边，以免影响自动洗车机。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14、安装隐藏式拖把箱及分类垃圾桶。（由投标人提供样式，招标人选择）</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15、车厢安装一只车顶逃生窗。确保密闭性良好，不漏水。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16、车身油漆采用进口或投标人标配油漆。</w:t>
            </w:r>
          </w:p>
        </w:tc>
        <w:tc>
          <w:tcPr>
            <w:tcW w:w="1374" w:type="dxa"/>
            <w:vMerge w:val="restart"/>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6"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地板</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采用大平面环保阻燃PVC地板，阻燃性能要求能达到相关标准最高等级，厚度不小于18MM，地板与客车底架采用胶水及专用螺栓连接，铺设区客车底架横梁加密、地板及座椅固定螺栓要求连接在横梁或替板上、紧固可靠（8年内不发生地板拱起，螺栓松脱开现象），地板各连接缝、地板与车身的接缝处应涂密封胶。整车采用厂家标配耐磨防滑石英沙城市客车专用地板革，地板与地板革采用进口高强度防水专用地板革胶粘接，做到不脱胶、不起泡、不开裂。地板革与地板是采用焊接拼接，接缝处剔割平整。乘客门踏步区域采用黄色踏步专用地板革，应有“站立禁区”字样。</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2、地板应设有检修孔和盖板，方便维修。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3、整车采用二级踏步制式。通道宽度符合国家标准。</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4、车厢内各阴阳角拼缝处采用铝合金型材拼压或地板革焊接工艺，直角拼缝处采用磨光45°对接，圆弧拼缝处则可采用成型或锯齿状弯曲拼压，确保拼压平整贴服。</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门窗及玻璃</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1、车门为厂家标配乘客门，加强型铝合金门板，门玻璃为钢化玻璃，乘客门下带防夹脚设置。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2、乘客门关闭时应装有气囊防夹缓冲装置。门轴应装防护装置并设置铝制铆钉固定的防夹提示牌。</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3、为确保安全性，设置开门信号灯，只有在门都关好的情况下，信号灯才关闭，车辆才可启动，该信号灯为左右危险信号灯；车速达到5码以上车门不能打开。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4、全车应有门锁装置。各类锁具（除上下客门锁）要求规格统一，为了便于日常管理要求所有锁具可由统一的一把钥匙（三角锁）打开。</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5、门泵驱动系统采用标配电控气动方式，门泵自带控制器，在仪表台适当位置设置乘客门应急打开气动控制阀开关，并在每个乘客门内外处和车外必须装紧急开关，以备紧急使用；门泵带自动气水分离装置。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6、边窗玻璃：粘贴式内藏推拉窗，推拉窗部分尽量大。边窗玻璃采用纳米隔热工艺，透光率51%，有明显隔热隔光玻璃标识。符合GB 9656-2021《机动车玻璃安全技术规范》的要求，左侧第一扇驾驶室窗玻璃为高透光玻璃，玻璃的可见光透射比应不小于95%，可见光反射比应不大于1.5%，前半扇可移动，后半扇固定；右侧安装路牌处对应部分玻璃为透明。玻璃和侧窗与车身骨架采用原装进口粘合胶粘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7、前挡风玻璃：采用全景整体夹胶安全玻璃。后挡风玻璃：采用整体式钢化安全玻璃。挡风玻璃涂黑部分尺寸必须满足后视镜视角和电子路牌显示要求。雨刮器刮刷面积满足驾驶员视野需求。</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8、驾驶座左、前方安装下拉式活动遮阳帘。</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座椅及扶手杆</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座椅布置：要求客车座椅均应配备伸缩式安全带并纵向布置（与车辆前进的方向相同），符合GB7258-2017《机动车运行安全条件》国家级强制检验报告中乘客座椅及固定件的强度应符合GB13057的规定要求。（需提供整车实际安装座椅布置图及机动车安全运行强制性项目检验报告证明）。</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2、厂家标配座椅皮质软座、易清洁、乘坐舒适。安装橙色照顾座椅，并安装爱心标识；安装军人专座；具体数量和位置由招标人确定。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3、整车采用铝合金扶手管，表面安装橡胶扶套，扶手套要求用螺钉固定确保不能滑动；扶手各连接部位的螺栓加保护套。整车直扶手与直扶手之间采用错距安装，最大限度地确保车厢内部通道宽度。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5、乘客门域应安装扶栏，但不得影响有效通道宽度。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6、靠窗座椅外侧应加装扶栏以保证安全。在符合国家标准的基础上，尽量扩大逃生出口面积。</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7、车内前后尽量多的安装有线下车门铃，门铃声音大小符合日常需求，要求即按即响，并具有语音提示功能，同时在车内内视镜上方安装汉化型提示灯。</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后视镜和喇叭</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1、安装手动左短右长杆式倒车镜，配电除雾，设置开关且熄火后可自动切断，装可调节下视镜，支承牢固，车辆行驶时不应有明显的抖动，视野清晰。</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2、安装双蜗牛电喇叭。</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3、安装可调节后视镜，不带时间、温度显示。</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后仓</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1、后仓应采用良好的隔热、隔振、阻燃、降噪音材料和阻燃灭火措施，要求能达到相关标准最高等级，开启通风良好，有利于散热。</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2、后仓区域内各类元器件、控制器布局合理，便于检修。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3、后仓内、后仓门合理安装加强防撞梁，做好防撞措施。</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4、后仓内合理安装灭火装置，要求符合国家JT/T 1240 标准。</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空调系统</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1、配纯电动专用冷暖一体式车载空调，最大制冷量14000大卡以上，进口压缩机、冷凝风机和蒸发风机，冷凝器和蒸发器采用优质铜芯，进口干燥器和阀类、进口接插件，连接管路采用优质铜管。</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2、车厢冷风道采用全景式铝合金风道结构形式，方便拆洗和检修，同时需考虑驾驶区域出风量。</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3、标配全景铝合金风道外观平顺美观，接口平整固定可靠，检修口设置合理、检修方便，开启、锁止方便可靠。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4、铝合金冷风道不得与前、后路牌窗贯通，表面平整圆顺，固定安装可靠。</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5、在空调蒸发器出风口处的顶盖蒙皮设有防水止口，排水管布置必须合理，防止冷凝水入车内。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6、空调机组安装牢固可靠，整机性能稳定，拆装清洁维护方便。前、后车厢及驾驶区各部温度均匀一致。风道内增设导流板，确保冷风有效引入车厢。</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7、车厢内安装电除霜装置，驾驶员处有出风口，便于驾驶员脚部取暖。</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空调推荐品牌：参照或相当于松芝或大冷王或精益。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8"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服务系统</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1、多媒体报站器和下客门监视器釆用嵌入式。监视器安装在司机仪表台右侧，多媒体报站器安装在监视器下方立面处（斜置）。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前、后、侧牌采用全彩型可双语显示电子路牌，前后牌显示尺寸224mm×1344mm及以上，像素32×192；侧牌显示尺寸320mm×960mm，像素64×192及以上。字体可显示16点阵、24点阵、32点阵，路牌设有光感探头，可随外界亮度变化自动调节亮度，内容可以静止、滚动等多种方式显示，可显示图片、文本等，颜色可任意配置。侧牌可显示途径站点信息，后牌可显示转弯、刹车等信息。仪表台设有独立开关。（显示尺寸只作参考，具体需根据实际安装空间稍作调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3、车辆内部前端安装车内屏，要求字数最大化，红色，与报站器联动，显示当前站及下一站信息，也可显示相关文明用语信息。仪表台设有独立开关。</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19寸车内广告机1只（具体位置由招标人确定），要求广告机内容具有远程多媒体视频、图文发布功能，具有安全加密功能，阻止第三方篡改播放内容，同时能接入招标人现有集中发布平台。车厢内布置喇叭，左右间隔布置，用于报站器、多媒体，并配置报站器专用外喇叭一只，同时由客车厂配置喊话器及插座与报站器外喇叭连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5、在前门附近扶手立杆上设儿童身高限位标尺。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6、车内设置司机工具箱、车内外标识等服务设施，由招标人提供技术要求，投标人设计、安装。车头车尾安装“绍兴公交”标识。</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载监控系统和调度终端统一安装在电子设备箱中，电子设备箱中必须有长电、ACC控制电源、总闸控制电源等三组电源线，以满足车载监控系统和调度终端需要。电子设备箱原则上安装在驾驶员座位后面。（车载监控系统上下客门及驾驶区域的监控装置安装位置由招标人确认后安装）</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8、全景式铝合金风道司机正上方不带灯源，风道广告域窗口内容根据招标人实际需求确定。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9、车辆设置司机左脚放置垫。</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10、系统集成：车载监控系统、调度终端、电子路牌、安全卫士、车门及倒车监视器均需和多媒体报站系统所连接，客车厂负责线束及线路的制作设计、并调试。</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标配小型化智能电子投币机（配三个电子内胆），具有外箱电动开锁、内胆电动开锁、投币计数等功能，储币量要求达到600元以上；在投币机旁设POS机（预敷设IC卡POS机电源线、POS机支架，直接从蓄电池引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11、设置语音提示功能，可调节音量可开关，车辆启动、转向、倒车、低速时有语音提醒播报功能，开关设置在仪表台上，车辆启动对内播报，车辆转向、倒车对外播报，低速声音报警可对内对外播报。</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13、车内座椅旁合理安装适当数量的USB充电接口。</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参考品牌：</w:t>
            </w:r>
          </w:p>
          <w:p>
            <w:pPr>
              <w:keepNext w:val="0"/>
              <w:keepLines w:val="0"/>
              <w:widowControl/>
              <w:suppressLineNumbers w:val="0"/>
              <w:shd w:val="clear"/>
              <w:jc w:val="left"/>
              <w:textAlignment w:val="top"/>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车载监控系统、调度终端、POS机、多媒体报站、安全卫士、车内屏、导乘屏由招标人提供型号及位置布置，车辆制造厂家负责安装调试。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left"/>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车身涂装</w:t>
            </w:r>
          </w:p>
        </w:tc>
        <w:tc>
          <w:tcPr>
            <w:tcW w:w="5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车身颜色、图案、标识由投标人提投标方案再经招标人确认。</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智能安全配置</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1、要求配有电子驻车、制动防抱死装置（ABS）、上坡辅助（HSA）、驱动防滑（Y-ASR）、复合制动（CBS）、停车制动（AutoHold）、24小时电池监控系统、油门防误踩功能、充电多层安全防护装置等智能安全配置。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电子后视镜系统：车内右A柱上单侧安装12.3寸电子后视镜；采用上下分屏结构，要求可显示两侧A柱盲区和前方盲区，亮度自动调节，具备夜间自动补光，防眩光功能。采用车规级操作系统，冷启动速度≤2秒，图像分辨率1280P以上，画面流畅，帧数≥50桢，延迟≤60毫秒，与车载视频监控主机对接存储；要求固定牢固，车辆正右前方及右侧视野清晰，安装位置不能遮挡车外倒车镜及乘客门，不影响驾驶员视野及日常行车安全要求。</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安装360°全景环视系统，该系统由全景环视主机及环视摄像机组成的影像式行车安全辅助系统，能够利用安装的摄像头获取影像，通过成熟的算法处理，输出全景环视图像，并接入到车载监控系统，同时能在车载监控屏中显示，该系统须与招标人集中监控平台实现无缝对接，能在集中监控平台中进行预览、回放等操作。</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4、安装车载新能源智慧终端，可监控、查询车辆实时状态和各类数据，支持多策略数据上传，预留数据通讯接口，可提供数据协议，能接入招标人管理平台，并可根据招标人实际需求免费更新升级。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5、车内驾驶区域安装车辆安全卫士。（具体布局按招标人习惯布置）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6、车厢内按国家JT/T1240标准安装标配危险气体报警装置。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7、整车侧窗左右两侧安装电动击窗器（爆破器），带翻盖报警功能，每车安装四处，左二右二，布置相关说明，以便在发生紧急情况时，可及时顺利逃生。</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8、车内带压力表水基型4公斤灭火器4只（配筒式固定座）。</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9、车厢内每扇车窗安装带钢丝及蜂鸣防盗安全锤（其中1把安装在驾驶室），并在车窗玻璃上根据国标要求注明安全锤敲击点及逃生窗口图示。</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10、控制仓、电池仓、高压仓内合理安装自动灭火装置。</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11、安装铝制安全提示牌（具体内容由招标人确定）。</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12、配置驾驶员未系安全带提醒。</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注：以上各项如国家JT/T1240标准中有要求的，须按标准要求执行。</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其他</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1、随车工具：少于5辆车的赠送2套，之后每增加5辆车多赠送1套（不到5辆按5辆算）。</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2、随车资料。</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3、车内布置驾驶员茶杯支架、手机袋、证件盒。</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4、每车提供两套底盘号及电机号拓印，拓印件必须用铅笔和专用拓印纸进行拓印，字体清楚；</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5、后档无客车销售等广告；</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6、随车配三角警告牌。</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7、车内警示牌均要求采用铝制。</w:t>
            </w:r>
          </w:p>
          <w:p>
            <w:pPr>
              <w:keepNext w:val="0"/>
              <w:keepLines w:val="0"/>
              <w:widowControl/>
              <w:suppressLineNumbers w:val="0"/>
              <w:shd w:val="clear"/>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▲8、车辆用于客货邮线路使用，需配有1m³以上的行李舱。</w:t>
            </w:r>
          </w:p>
          <w:p>
            <w:pPr>
              <w:keepNext w:val="0"/>
              <w:keepLines w:val="0"/>
              <w:widowControl/>
              <w:suppressLineNumbers w:val="0"/>
              <w:shd w:val="clear"/>
              <w:jc w:val="both"/>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注：本表未注明配置和质量必须符合国家及行业相关标准。</w:t>
            </w:r>
          </w:p>
        </w:tc>
        <w:tc>
          <w:tcPr>
            <w:tcW w:w="137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both"/>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7" w:hRule="atLeast"/>
        </w:trPr>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211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质保要求</w:t>
            </w:r>
          </w:p>
        </w:tc>
        <w:tc>
          <w:tcPr>
            <w:tcW w:w="5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整车免费质保4年（含零部件），零部件质保以车辆出厂《保修手册》为基准与整车质保同比例提升（超出8年的按8年执行），例：车辆出厂《保修手册》中整车质保期限为24个月，雨刮片质保期限为3个月，以整车免费质保8年计算，雨刮片质保要求提升至96÷24×3=12个月，零部件质保已明确要求的除外。质保期限自车辆上完牌照后开始计算。</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纯电动系统电池组（含附属件）、BMS及电池组液冷系统、电池组灭火装置要求质保8年（含易损、易耗件），质保期内日常的维护保养材料、人工等由投标人负责，同时投标人承诺提供每季度一次及重大节假日、重要活动对纯电 动系统电池组及附属件的安全检查。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纯电动系统驱动电机及附属件要求质保8年（含易损、易耗件），质保期内日常的维护保养材料、人工等由投标人负责，同时投标人承诺提供每季度一次及重大节假日、重要活动对纯电动系统驱动电机及附属件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4、电机冷却系统要求质保8年（含易损、易耗件），质保期内日常的维护保养材料、人工等由投标人负责，同时投标人承诺提供定期及重大节假日、重要活动及按招标人要求对电机冷却系统的安全检查。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纯电动系统高压电控系统及附属件（包括但不限于高压配电柜、直流转换器、电动助力转向控制器、驱动电机控制器、空压机控制器）要求质保8年（含易损、易耗件），质保期内日常的维护保养材料、人工等由投标人负责，同时投标人承诺提供每季度一次及重大节假日、重要活动纯电动系统高压控制器及附属件（包括但不限于高压配电柜及柜内附件、直流转换器、电动助力转向控制器、驱动电机控制器、空压机控制器）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6、电动打气泵要求质保8年（含易损、易耗件），质保期内日常的维护保养材料、人工等由投标人负责，同时投标人承诺提供定期及重大节假日、重要活动及按招标人要求对电动打气泵的安全检查。</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7、前后桥总成要求质保8年（含易损、易耗件）。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8、空气悬架系统质保8年（含易损、易耗件）。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9、免维护轮毂总成要求质保8年（含易损件、易耗件）。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10、电动液压转向系统(包括但不限于方向机、助力泵、电机、直流转换器)要求质保8年（含易损、易耗件）。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11、底盘集中润滑系统要求质保8年（含易损、易耗件）。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12、制动系统刹车总成要求主体结构件质保8年、易损件质保3年或以上。同时还需出具如因刹车咬死、发热造成的相应部件（包括免维护轮毂）损坏，由投标人全额承担损失的承诺书。</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13、铝合金轮辋要求质保8年（外力损伤除外）。</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14、胎压监测系统要求质保8年。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15、CAN总线（含仪表）要求质保8年。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16、车身车架防腐要求质保8年。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17、驾驶区防护隔离设施要求质保8年。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18、车顶逃生窗及逃生门要求质保8年。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19、PVC地板及地板革要求质保8年。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20、后视镜电除雾要求质保8年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21、乘客门总成（含门泵等，含易损、易耗件）要求质保8年。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22、座椅（含驾驶员座椅）要求质保8年。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23、铝合金扶手要求质保8年。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24、侧窗玻璃要求质保8年（含总成件、所属配件、易损件及工时）。</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25、车载空调要求质保8年。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20、全景铝合金风道要求质保8年。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26、车顶防漏要求质保8年。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27、除霜装置要求质保8年。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28、电子路牌、车内屏要求质保8年。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29、车内广告机要求质保8年。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30、电子投币机要求质保8年。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31、语音提示设备要求质保8年。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35、电子后视镜系统要求质保8年。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36、360°全景环视系统要求质保8年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32、危险气体报警装置要求质保8年。</w:t>
            </w:r>
          </w:p>
          <w:p>
            <w:pPr>
              <w:keepNext w:val="0"/>
              <w:keepLines w:val="0"/>
              <w:widowControl/>
              <w:suppressLineNumbers w:val="0"/>
              <w:shd w:val="clear"/>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33、电动击窗器要求质保8年。</w:t>
            </w:r>
          </w:p>
          <w:p>
            <w:pPr>
              <w:keepNext w:val="0"/>
              <w:keepLines w:val="0"/>
              <w:widowControl/>
              <w:suppressLineNumbers w:val="0"/>
              <w:shd w:val="clear"/>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34、投标人投标时承诺控制仓、高压仓、电池仓自动灭火装置8年保质期内有效期到期前免费更换的承诺书。</w:t>
            </w:r>
          </w:p>
        </w:tc>
        <w:tc>
          <w:tcPr>
            <w:tcW w:w="1374" w:type="dxa"/>
            <w:vMerge w:val="restart"/>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7"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9"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2115" w:type="dxa"/>
            <w:vMerge w:val="continue"/>
            <w:tcBorders>
              <w:top w:val="single" w:color="000000" w:sz="4" w:space="0"/>
              <w:left w:val="single" w:color="000000" w:sz="4" w:space="0"/>
              <w:bottom w:val="single" w:color="000000" w:sz="4" w:space="0"/>
              <w:right w:val="nil"/>
            </w:tcBorders>
            <w:shd w:val="clear" w:color="auto" w:fill="auto"/>
            <w:vAlign w:val="center"/>
          </w:tcPr>
          <w:p>
            <w:pPr>
              <w:shd w:val="clear"/>
              <w:jc w:val="center"/>
              <w:rPr>
                <w:rFonts w:hint="eastAsia" w:ascii="仿宋" w:hAnsi="仿宋" w:eastAsia="仿宋" w:cs="仿宋"/>
                <w:i w:val="0"/>
                <w:iCs w:val="0"/>
                <w:color w:val="auto"/>
                <w:sz w:val="22"/>
                <w:szCs w:val="22"/>
                <w:highlight w:val="none"/>
                <w:u w:val="none"/>
              </w:rPr>
            </w:pPr>
          </w:p>
        </w:tc>
        <w:tc>
          <w:tcPr>
            <w:tcW w:w="5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仿宋" w:hAnsi="仿宋" w:eastAsia="仿宋" w:cs="仿宋"/>
                <w:i w:val="0"/>
                <w:iCs w:val="0"/>
                <w:color w:val="auto"/>
                <w:sz w:val="22"/>
                <w:szCs w:val="22"/>
                <w:highlight w:val="none"/>
                <w:u w:val="none"/>
              </w:rPr>
            </w:pPr>
          </w:p>
        </w:tc>
        <w:tc>
          <w:tcPr>
            <w:tcW w:w="1374" w:type="dxa"/>
            <w:vMerge w:val="continue"/>
            <w:tcBorders>
              <w:top w:val="single" w:color="000000" w:sz="4" w:space="0"/>
              <w:left w:val="nil"/>
              <w:bottom w:val="single" w:color="000000" w:sz="4" w:space="0"/>
              <w:right w:val="single" w:color="000000" w:sz="4" w:space="0"/>
            </w:tcBorders>
            <w:shd w:val="clear" w:color="auto" w:fill="auto"/>
            <w:vAlign w:val="top"/>
          </w:tcPr>
          <w:p>
            <w:pPr>
              <w:shd w:val="clear"/>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注：1、招标车辆技术要求有国家相关要求的，以国家最新标准要求为准。</w:t>
            </w:r>
          </w:p>
        </w:tc>
        <w:tc>
          <w:tcPr>
            <w:tcW w:w="1374"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266" w:type="dxa"/>
            <w:gridSpan w:val="3"/>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2、招标车辆技术要求如前后有冲突或与现实情况不相符，以招标人实际需求为准。</w:t>
            </w:r>
          </w:p>
        </w:tc>
        <w:tc>
          <w:tcPr>
            <w:tcW w:w="1374" w:type="dxa"/>
            <w:tcBorders>
              <w:top w:val="nil"/>
              <w:left w:val="nil"/>
              <w:bottom w:val="nil"/>
              <w:right w:val="nil"/>
            </w:tcBorders>
            <w:shd w:val="clear" w:color="auto" w:fill="auto"/>
            <w:vAlign w:val="top"/>
          </w:tcPr>
          <w:p>
            <w:pPr>
              <w:shd w:val="clear"/>
              <w:rPr>
                <w:rFonts w:hint="eastAsia" w:ascii="仿宋" w:hAnsi="仿宋" w:eastAsia="仿宋" w:cs="仿宋"/>
                <w:i w:val="0"/>
                <w:iCs w:val="0"/>
                <w:color w:val="auto"/>
                <w:sz w:val="22"/>
                <w:szCs w:val="22"/>
                <w:highlight w:val="none"/>
                <w:u w:val="none"/>
              </w:rPr>
            </w:pPr>
          </w:p>
        </w:tc>
      </w:tr>
    </w:tbl>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keepNext/>
        <w:keepLines/>
        <w:widowControl w:val="0"/>
        <w:shd w:val="clear" w:color="auto"/>
        <w:tabs>
          <w:tab w:val="left" w:pos="432"/>
        </w:tabs>
        <w:adjustRightInd w:val="0"/>
        <w:spacing w:line="360" w:lineRule="auto"/>
        <w:outlineLvl w:val="1"/>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二、</w:t>
      </w:r>
      <w:r>
        <w:rPr>
          <w:rFonts w:hint="eastAsia" w:ascii="仿宋" w:hAnsi="仿宋" w:eastAsia="仿宋" w:cs="仿宋"/>
          <w:b/>
          <w:bCs/>
          <w:color w:val="auto"/>
          <w:sz w:val="32"/>
          <w:szCs w:val="32"/>
          <w:highlight w:val="none"/>
        </w:rPr>
        <w:t>其他</w:t>
      </w:r>
      <w:r>
        <w:rPr>
          <w:rFonts w:hint="eastAsia" w:ascii="仿宋" w:hAnsi="仿宋" w:eastAsia="仿宋" w:cs="仿宋"/>
          <w:b/>
          <w:bCs/>
          <w:color w:val="auto"/>
          <w:sz w:val="32"/>
          <w:szCs w:val="32"/>
          <w:highlight w:val="none"/>
          <w:lang w:val="zh-CN" w:eastAsia="zh-CN"/>
        </w:rPr>
        <w:t>要求</w:t>
      </w:r>
    </w:p>
    <w:p>
      <w:pPr>
        <w:pStyle w:val="25"/>
        <w:shd w:val="clear" w:color="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1.交货地点:采购人指定地点。</w:t>
      </w:r>
    </w:p>
    <w:p>
      <w:pPr>
        <w:pStyle w:val="25"/>
        <w:shd w:val="clear" w:color="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2.质量要求:完成车辆上牌、一次性验收合格。</w:t>
      </w:r>
    </w:p>
    <w:p>
      <w:pPr>
        <w:pStyle w:val="25"/>
        <w:shd w:val="clear" w:color="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★3.供货期限要求:合同签订后40天内完成</w:t>
      </w:r>
      <w:r>
        <w:rPr>
          <w:rFonts w:hint="eastAsia" w:ascii="仿宋" w:hAnsi="仿宋" w:eastAsia="仿宋" w:cs="仿宋"/>
          <w:color w:val="auto"/>
          <w:sz w:val="24"/>
          <w:highlight w:val="none"/>
          <w:lang w:eastAsia="zh-CN" w:bidi="ar-SA"/>
        </w:rPr>
        <w:t>，</w:t>
      </w:r>
      <w:r>
        <w:rPr>
          <w:rFonts w:hint="eastAsia" w:ascii="仿宋" w:hAnsi="仿宋" w:eastAsia="仿宋" w:cs="仿宋"/>
          <w:color w:val="auto"/>
          <w:sz w:val="24"/>
          <w:highlight w:val="none"/>
          <w:lang w:val="en-US" w:eastAsia="zh-CN" w:bidi="ar-SA"/>
        </w:rPr>
        <w:t>具体交付时间以合同约定为准</w:t>
      </w:r>
      <w:r>
        <w:rPr>
          <w:rFonts w:hint="eastAsia" w:ascii="仿宋" w:hAnsi="仿宋" w:eastAsia="仿宋" w:cs="仿宋"/>
          <w:color w:val="auto"/>
          <w:sz w:val="24"/>
          <w:highlight w:val="none"/>
          <w:lang w:bidi="ar-SA"/>
        </w:rPr>
        <w:t>。</w:t>
      </w:r>
    </w:p>
    <w:p>
      <w:pPr>
        <w:pStyle w:val="25"/>
        <w:shd w:val="clear" w:color="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4.投标报价不包含车辆保险费及上牌费用，报价时应充分考虑国家补贴政策发生变化的风险，补贴下降或取消风险由中标人承担；如在合同履行期间，国家出台相关补贴政策，补贴金额在投标报价中相应减除。</w:t>
      </w:r>
    </w:p>
    <w:p>
      <w:pPr>
        <w:pStyle w:val="25"/>
        <w:shd w:val="clear" w:color="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5.维修保养</w:t>
      </w:r>
    </w:p>
    <w:p>
      <w:pPr>
        <w:shd w:val="clear" w:color="auto"/>
        <w:spacing w:line="360" w:lineRule="auto"/>
        <w:rPr>
          <w:rFonts w:hint="eastAsia" w:ascii="仿宋" w:hAnsi="仿宋" w:eastAsia="仿宋" w:cs="仿宋"/>
          <w:color w:val="auto"/>
          <w:sz w:val="24"/>
          <w:highlight w:val="none"/>
          <w:lang w:eastAsia="zh-CN" w:bidi="ar"/>
        </w:rPr>
      </w:pPr>
      <w:r>
        <w:rPr>
          <w:rFonts w:hint="eastAsia" w:ascii="仿宋" w:hAnsi="仿宋" w:eastAsia="仿宋" w:cs="仿宋"/>
          <w:color w:val="auto"/>
          <w:sz w:val="24"/>
          <w:highlight w:val="none"/>
          <w:lang w:bidi="ar-SA"/>
        </w:rPr>
        <w:t>5.1</w:t>
      </w:r>
      <w:r>
        <w:rPr>
          <w:rFonts w:hint="eastAsia" w:ascii="仿宋" w:hAnsi="仿宋" w:eastAsia="仿宋" w:cs="仿宋"/>
          <w:color w:val="auto"/>
          <w:sz w:val="24"/>
          <w:highlight w:val="none"/>
          <w:lang w:bidi="ar"/>
        </w:rPr>
        <w:t>提供维修服务点、备用零配件清单、保养项目清单（含保养周期）、技术参数及车辆故障诊断仪。</w:t>
      </w:r>
    </w:p>
    <w:p>
      <w:pPr>
        <w:shd w:val="clear" w:color="auto"/>
        <w:spacing w:line="360" w:lineRule="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5.2按中标价的1%提供日常的维修费用（与质保期内的保养无关），按8年平均支付，在每年的12月31日前支付给绍兴市公共交通集团有限公司下属子公司绍兴市越风汽车修理责任有限公司。</w:t>
      </w:r>
    </w:p>
    <w:p>
      <w:pPr>
        <w:shd w:val="clear" w:color="auto"/>
        <w:spacing w:line="360" w:lineRule="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6.验收:中标人将所供车辆送达采购人指定地点安装调试完毕后，采购人聘请专业技术人员进行验收。</w:t>
      </w:r>
    </w:p>
    <w:p>
      <w:pPr>
        <w:shd w:val="clear" w:color="auto"/>
        <w:spacing w:line="360" w:lineRule="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7.质保期:整车免费质保4年（含零部件），零部件质保以车辆出厂《保修手册》为基准与整车质保同比例提升（超出8年的按8年执行），例：车辆出厂《保修手册》中整车质保期限为24个月，玻璃质保期限为3个月，以整车免费质保8年计算，玻璃质保要求提升至96÷24×3=12个月，零部件质保已明确要求的除外。质保期限自车辆上完牌照后开始计算。</w:t>
      </w:r>
    </w:p>
    <w:p>
      <w:pPr>
        <w:shd w:val="clear" w:color="auto"/>
        <w:spacing w:line="360" w:lineRule="auto"/>
        <w:jc w:val="left"/>
        <w:rPr>
          <w:rFonts w:hint="eastAsia" w:ascii="仿宋" w:hAnsi="仿宋" w:eastAsia="仿宋" w:cs="仿宋"/>
          <w:b/>
          <w:bCs/>
          <w:color w:val="auto"/>
          <w:sz w:val="24"/>
          <w:highlight w:val="none"/>
          <w:lang w:eastAsia="zh-CN" w:bidi="ar-SA"/>
        </w:rPr>
      </w:pPr>
      <w:r>
        <w:rPr>
          <w:rFonts w:hint="eastAsia" w:ascii="仿宋" w:hAnsi="仿宋" w:eastAsia="仿宋" w:cs="仿宋"/>
          <w:b/>
          <w:bCs/>
          <w:color w:val="auto"/>
          <w:sz w:val="24"/>
          <w:highlight w:val="none"/>
          <w:lang w:bidi="ar-SA"/>
        </w:rPr>
        <w:t>三、其他说明</w:t>
      </w:r>
    </w:p>
    <w:p>
      <w:pPr>
        <w:shd w:val="clear" w:color="auto"/>
        <w:spacing w:line="360" w:lineRule="auto"/>
        <w:jc w:val="left"/>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1.在车辆验收或使用中发现响应配置与实际配置不相符的将追究差额及相关损失。</w:t>
      </w:r>
    </w:p>
    <w:p>
      <w:pPr>
        <w:shd w:val="clear" w:color="auto"/>
        <w:spacing w:line="360" w:lineRule="auto"/>
        <w:jc w:val="left"/>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★2技术配置及产品质量由中标人负责核对与查验，中标人须在投标文件中承诺由于车辆本身质量问题而导致车辆发生事故的，由中标人承担全部责任。</w:t>
      </w:r>
    </w:p>
    <w:p>
      <w:pPr>
        <w:shd w:val="clear" w:color="auto"/>
        <w:spacing w:line="360" w:lineRule="auto"/>
        <w:jc w:val="left"/>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★3.整车专用安全设施技术要求，必须符合中华人民共和国交通运输部发布的《城市公共汽电车车辆专用安全设施技术要求》JT/T 1240 标准。</w:t>
      </w:r>
    </w:p>
    <w:p>
      <w:pPr>
        <w:shd w:val="clear" w:color="auto"/>
        <w:spacing w:line="360" w:lineRule="auto"/>
        <w:jc w:val="left"/>
        <w:rPr>
          <w:rFonts w:hint="eastAsia" w:ascii="仿宋" w:hAnsi="仿宋" w:eastAsia="仿宋" w:cs="仿宋"/>
          <w:b/>
          <w:bCs/>
          <w:color w:val="auto"/>
          <w:sz w:val="24"/>
          <w:highlight w:val="none"/>
          <w:lang w:eastAsia="zh-CN" w:bidi="ar-SA"/>
        </w:rPr>
      </w:pPr>
      <w:r>
        <w:rPr>
          <w:rFonts w:hint="eastAsia" w:ascii="仿宋" w:hAnsi="仿宋" w:eastAsia="仿宋" w:cs="仿宋"/>
          <w:b/>
          <w:bCs/>
          <w:color w:val="auto"/>
          <w:sz w:val="24"/>
          <w:highlight w:val="none"/>
          <w:lang w:bidi="ar-SA"/>
        </w:rPr>
        <w:t>四、履约保证金及付款方式</w:t>
      </w:r>
    </w:p>
    <w:p>
      <w:pPr>
        <w:shd w:val="clear" w:color="auto"/>
        <w:spacing w:line="360" w:lineRule="auto"/>
        <w:jc w:val="left"/>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1.履约保证金:合同签订前中标人须向采购</w:t>
      </w:r>
      <w:r>
        <w:rPr>
          <w:rFonts w:hint="eastAsia" w:ascii="仿宋" w:hAnsi="仿宋" w:eastAsia="仿宋" w:cs="仿宋"/>
          <w:color w:val="auto"/>
          <w:sz w:val="24"/>
          <w:highlight w:val="none"/>
          <w:lang w:val="en-US" w:eastAsia="zh-CN" w:bidi="ar-SA"/>
        </w:rPr>
        <w:t>人</w:t>
      </w:r>
      <w:r>
        <w:rPr>
          <w:rFonts w:hint="eastAsia" w:ascii="仿宋" w:hAnsi="仿宋" w:eastAsia="仿宋" w:cs="仿宋"/>
          <w:color w:val="auto"/>
          <w:sz w:val="24"/>
          <w:highlight w:val="none"/>
          <w:lang w:bidi="ar-SA"/>
        </w:rPr>
        <w:t>缴纳中标价1%的履约保证金，</w:t>
      </w:r>
    </w:p>
    <w:p>
      <w:pPr>
        <w:shd w:val="clear" w:color="auto"/>
        <w:spacing w:line="360" w:lineRule="auto"/>
        <w:jc w:val="left"/>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履约保证金在车辆验收合格后30日内无息退还。</w:t>
      </w:r>
    </w:p>
    <w:p>
      <w:pPr>
        <w:shd w:val="clear" w:color="auto"/>
        <w:spacing w:line="360" w:lineRule="auto"/>
        <w:jc w:val="left"/>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2.付款方式:按《浙江省财政厅关于进一步发挥政府采购政策功能全力推动经济稳进提质的通知》（浙财采监〔2022〕3号）等文件要求执行。在合同签订后7个工作日内预付30%（对中小企业预付40%），车辆验收合格并上牌完成，且经中标人培训驾驶员能熟练操作并掌握必要的维保常识后7个工作日内支付总车款15%；上牌完成后第6个月，结合考核结果，支付总车款的30%；上牌完成后第1</w:t>
      </w:r>
      <w:r>
        <w:rPr>
          <w:rFonts w:hint="eastAsia" w:ascii="仿宋" w:hAnsi="仿宋" w:eastAsia="仿宋" w:cs="仿宋"/>
          <w:color w:val="auto"/>
          <w:sz w:val="24"/>
          <w:highlight w:val="none"/>
          <w:lang w:val="en-US" w:eastAsia="zh-CN" w:bidi="ar-SA"/>
        </w:rPr>
        <w:t>5</w:t>
      </w:r>
      <w:r>
        <w:rPr>
          <w:rFonts w:hint="eastAsia" w:ascii="仿宋" w:hAnsi="仿宋" w:eastAsia="仿宋" w:cs="仿宋"/>
          <w:color w:val="auto"/>
          <w:sz w:val="24"/>
          <w:highlight w:val="none"/>
          <w:lang w:bidi="ar-SA"/>
        </w:rPr>
        <w:t>个月，结合考核结果，支付总车款的25%（对中小企业支付总车款的15%）。为了保证质保期内的服务工作，中标人须在采购人支付尾款前提供一份总车款10%的</w:t>
      </w:r>
      <w:r>
        <w:rPr>
          <w:rFonts w:hint="eastAsia" w:ascii="仿宋" w:hAnsi="仿宋" w:eastAsia="仿宋" w:cs="仿宋"/>
          <w:color w:val="auto"/>
          <w:sz w:val="24"/>
          <w:highlight w:val="none"/>
          <w:lang w:val="en-US" w:eastAsia="zh-CN" w:bidi="ar-SA"/>
        </w:rPr>
        <w:t>81</w:t>
      </w:r>
      <w:r>
        <w:rPr>
          <w:rFonts w:hint="eastAsia" w:ascii="仿宋" w:hAnsi="仿宋" w:eastAsia="仿宋" w:cs="仿宋"/>
          <w:color w:val="auto"/>
          <w:sz w:val="24"/>
          <w:highlight w:val="none"/>
          <w:lang w:bidi="ar-SA"/>
        </w:rPr>
        <w:t>个月期限的违约保函，否则采购人有权拒绝支付尾款。</w:t>
      </w:r>
    </w:p>
    <w:p>
      <w:pPr>
        <w:shd w:val="clear" w:color="auto"/>
        <w:spacing w:line="360" w:lineRule="auto"/>
        <w:rPr>
          <w:rFonts w:hint="eastAsia" w:ascii="仿宋" w:hAnsi="仿宋" w:eastAsia="仿宋" w:cs="仿宋"/>
          <w:b/>
          <w:bCs/>
          <w:color w:val="auto"/>
          <w:sz w:val="24"/>
          <w:highlight w:val="none"/>
          <w:lang w:eastAsia="zh-CN" w:bidi="ar-SA"/>
        </w:rPr>
      </w:pPr>
      <w:r>
        <w:rPr>
          <w:rFonts w:hint="eastAsia" w:ascii="仿宋" w:hAnsi="仿宋" w:eastAsia="仿宋" w:cs="仿宋"/>
          <w:b/>
          <w:bCs/>
          <w:color w:val="auto"/>
          <w:sz w:val="24"/>
          <w:highlight w:val="none"/>
          <w:lang w:bidi="ar-SA"/>
        </w:rPr>
        <w:t>五、服务考核细则</w:t>
      </w:r>
    </w:p>
    <w:p>
      <w:pPr>
        <w:shd w:val="clear" w:color="auto"/>
        <w:spacing w:line="360" w:lineRule="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ab/>
      </w:r>
      <w:r>
        <w:rPr>
          <w:rFonts w:hint="eastAsia" w:ascii="仿宋" w:hAnsi="仿宋" w:eastAsia="仿宋" w:cs="仿宋"/>
          <w:color w:val="auto"/>
          <w:sz w:val="24"/>
          <w:highlight w:val="none"/>
          <w:lang w:bidi="ar-SA"/>
        </w:rPr>
        <w:t>本细则为车辆经验收合格上牌后质保服务期内的质量、服务考核。考核采用百分制，直接与后期付款挂钩，如按照招标要求车辆使用满一年支付车辆总价款的25%，则结合考核结果付款为:车辆总价款×25%×考核结果百分比(如考核结果为96分，则乘以96%)。</w:t>
      </w:r>
    </w:p>
    <w:p>
      <w:pPr>
        <w:shd w:val="clear" w:color="auto"/>
        <w:spacing w:line="360" w:lineRule="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1.质保期内出现车辆故障，中标人应2小时内到达现场，8小时内故障修复，如现场无法修复的应采取提供备用设备更换措施。否则每次扣1分。</w:t>
      </w:r>
    </w:p>
    <w:p>
      <w:pPr>
        <w:shd w:val="clear" w:color="auto"/>
        <w:spacing w:line="360" w:lineRule="auto"/>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2.中标人设立的售后维修服务站，出现不予配合、配合服务态度差的，每发生一次扣1分。</w:t>
      </w:r>
    </w:p>
    <w:p>
      <w:pPr>
        <w:pStyle w:val="26"/>
        <w:shd w:val="clear" w:color="auto"/>
        <w:spacing w:line="360" w:lineRule="auto"/>
        <w:ind w:firstLine="0" w:firstLineChars="0"/>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3.车辆关键零部件在质保期内出现故障、破损或其他质量问题的，中标人应响应按采购人的要求在承诺期限内修复、更换。如超出承诺期限的，每超出1天，扣1分；若不作响应的，则采购人有权安排其他维修单位进行维修、更换，其产生的所有费用由中标人承担，并在结算款中扣除。</w:t>
      </w:r>
    </w:p>
    <w:p>
      <w:pPr>
        <w:pStyle w:val="26"/>
        <w:shd w:val="clear" w:color="auto"/>
        <w:spacing w:line="360" w:lineRule="auto"/>
        <w:ind w:firstLine="0" w:firstLineChars="0"/>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4.质保期内，因质量问题需更换车辆零配件的，必须为工厂原装配件，发生以次充好等问题的，扣考核分5分，逾期未予整改的，加倍扣罚。</w:t>
      </w:r>
    </w:p>
    <w:p>
      <w:pPr>
        <w:pStyle w:val="26"/>
        <w:shd w:val="clear" w:color="auto"/>
        <w:spacing w:line="360" w:lineRule="auto"/>
        <w:ind w:firstLine="0" w:firstLineChars="0"/>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bidi="ar-SA"/>
        </w:rPr>
        <w:t>5.中标人必须履行质保承诺，若在质保期内不做响应的，则采购人有权自行安排其他单位进行质保，所产生的所有费用与损失由中标人承担，并在结算款中扣除，造成严重后果的，将通过法律途径维权。</w:t>
      </w:r>
    </w:p>
    <w:p>
      <w:pPr>
        <w:pStyle w:val="26"/>
        <w:shd w:val="clear" w:color="auto"/>
        <w:spacing w:line="360" w:lineRule="auto"/>
        <w:ind w:firstLine="0" w:firstLineChars="0"/>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bidi="ar-SA"/>
        </w:rPr>
        <w:t>6.车辆质保期内造成事故，经第三方鉴定为车辆本身质量问题的（鉴定费用由中标人承担），中标人须承担所有损失外，并且每发生一起扣除考核分10分。</w:t>
      </w:r>
    </w:p>
    <w:p>
      <w:pPr>
        <w:shd w:val="clear" w:color="auto"/>
        <w:spacing w:line="360" w:lineRule="auto"/>
        <w:rPr>
          <w:rFonts w:hint="eastAsia" w:ascii="仿宋" w:hAnsi="仿宋" w:eastAsia="仿宋" w:cs="仿宋"/>
          <w:snapToGrid/>
          <w:color w:val="auto"/>
          <w:kern w:val="2"/>
          <w:sz w:val="24"/>
          <w:szCs w:val="20"/>
          <w:highlight w:val="none"/>
          <w:lang w:val="zh-CN" w:eastAsia="zh-CN" w:bidi="ar-SA"/>
        </w:rPr>
      </w:pPr>
      <w:r>
        <w:rPr>
          <w:rFonts w:hint="eastAsia" w:ascii="仿宋" w:hAnsi="仿宋" w:eastAsia="仿宋" w:cs="仿宋"/>
          <w:b/>
          <w:bCs/>
          <w:color w:val="auto"/>
          <w:sz w:val="24"/>
          <w:highlight w:val="none"/>
          <w:lang w:val="zh-CN" w:eastAsia="zh-CN" w:bidi="ar-SA"/>
        </w:rPr>
        <w:t>六、其他：</w:t>
      </w:r>
      <w:r>
        <w:rPr>
          <w:rFonts w:hint="eastAsia" w:ascii="仿宋" w:hAnsi="仿宋" w:eastAsia="仿宋" w:cs="仿宋"/>
          <w:snapToGrid/>
          <w:color w:val="auto"/>
          <w:kern w:val="2"/>
          <w:sz w:val="24"/>
          <w:szCs w:val="20"/>
          <w:highlight w:val="none"/>
          <w:lang w:val="zh-CN" w:eastAsia="zh-CN" w:bidi="ar-SA"/>
        </w:rPr>
        <w:t>此项目由绍兴市公共交通集团有限公司统一招标，与下属各营运子公司签订采购合同。</w:t>
      </w:r>
    </w:p>
    <w:p>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p>
    <w:p>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p>
    <w:p>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p>
    <w:p>
      <w:pPr>
        <w:pStyle w:val="2"/>
        <w:shd w:val="clear"/>
        <w:rPr>
          <w:rFonts w:hint="eastAsia" w:ascii="仿宋" w:hAnsi="仿宋" w:eastAsia="仿宋" w:cs="仿宋"/>
          <w:b/>
          <w:color w:val="auto"/>
          <w:sz w:val="36"/>
          <w:szCs w:val="36"/>
          <w:highlight w:val="none"/>
        </w:rPr>
      </w:pPr>
    </w:p>
    <w:p>
      <w:pPr>
        <w:pStyle w:val="3"/>
        <w:shd w:val="clear"/>
        <w:rPr>
          <w:rFonts w:hint="eastAsia" w:ascii="仿宋" w:hAnsi="仿宋" w:eastAsia="仿宋" w:cs="仿宋"/>
          <w:b/>
          <w:color w:val="auto"/>
          <w:sz w:val="36"/>
          <w:szCs w:val="36"/>
          <w:highlight w:val="none"/>
        </w:rPr>
      </w:pPr>
    </w:p>
    <w:p>
      <w:pPr>
        <w:shd w:val="clear"/>
        <w:rPr>
          <w:rFonts w:hint="eastAsia" w:ascii="仿宋" w:hAnsi="仿宋" w:eastAsia="仿宋" w:cs="仿宋"/>
          <w:b/>
          <w:color w:val="auto"/>
          <w:sz w:val="36"/>
          <w:szCs w:val="36"/>
          <w:highlight w:val="none"/>
        </w:rPr>
      </w:pPr>
    </w:p>
    <w:p>
      <w:pPr>
        <w:pStyle w:val="2"/>
        <w:shd w:val="clear"/>
        <w:rPr>
          <w:rFonts w:hint="eastAsia" w:ascii="仿宋" w:hAnsi="仿宋" w:eastAsia="仿宋" w:cs="仿宋"/>
          <w:b/>
          <w:color w:val="auto"/>
          <w:sz w:val="36"/>
          <w:szCs w:val="36"/>
          <w:highlight w:val="none"/>
        </w:rPr>
      </w:pPr>
    </w:p>
    <w:p>
      <w:pPr>
        <w:pStyle w:val="3"/>
        <w:shd w:val="clear"/>
        <w:rPr>
          <w:rFonts w:hint="eastAsia" w:ascii="仿宋" w:hAnsi="仿宋" w:eastAsia="仿宋" w:cs="仿宋"/>
          <w:b/>
          <w:color w:val="auto"/>
          <w:sz w:val="36"/>
          <w:szCs w:val="36"/>
          <w:highlight w:val="none"/>
        </w:rPr>
      </w:pPr>
    </w:p>
    <w:p>
      <w:pPr>
        <w:shd w:val="clear"/>
        <w:rPr>
          <w:rFonts w:hint="eastAsia" w:ascii="仿宋" w:hAnsi="仿宋" w:eastAsia="仿宋" w:cs="仿宋"/>
          <w:b/>
          <w:color w:val="auto"/>
          <w:sz w:val="36"/>
          <w:szCs w:val="36"/>
          <w:highlight w:val="none"/>
        </w:rPr>
      </w:pPr>
    </w:p>
    <w:p>
      <w:pPr>
        <w:pStyle w:val="2"/>
        <w:shd w:val="clear"/>
        <w:rPr>
          <w:rFonts w:hint="eastAsia" w:ascii="仿宋" w:hAnsi="仿宋" w:eastAsia="仿宋" w:cs="仿宋"/>
          <w:b/>
          <w:color w:val="auto"/>
          <w:sz w:val="36"/>
          <w:szCs w:val="36"/>
          <w:highlight w:val="none"/>
        </w:rPr>
      </w:pPr>
    </w:p>
    <w:p>
      <w:pPr>
        <w:pStyle w:val="3"/>
        <w:shd w:val="clear"/>
        <w:rPr>
          <w:rFonts w:hint="eastAsia" w:ascii="仿宋" w:hAnsi="仿宋" w:eastAsia="仿宋" w:cs="仿宋"/>
          <w:b/>
          <w:color w:val="auto"/>
          <w:sz w:val="36"/>
          <w:szCs w:val="36"/>
          <w:highlight w:val="none"/>
        </w:rPr>
      </w:pPr>
    </w:p>
    <w:p>
      <w:pPr>
        <w:shd w:val="clear"/>
        <w:rPr>
          <w:rFonts w:hint="eastAsia"/>
          <w:color w:val="auto"/>
          <w:highlight w:val="none"/>
        </w:rPr>
      </w:pPr>
    </w:p>
    <w:p>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p>
    <w:p>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第四部分拟签订的合同文本</w:t>
      </w:r>
    </w:p>
    <w:p>
      <w:pPr>
        <w:shd w:val="clea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hd w:val="clear"/>
        <w:spacing w:line="480" w:lineRule="auto"/>
        <w:jc w:val="center"/>
        <w:rPr>
          <w:rFonts w:hint="eastAsia" w:ascii="仿宋" w:hAnsi="仿宋" w:eastAsia="仿宋" w:cs="仿宋"/>
          <w:b/>
          <w:color w:val="auto"/>
          <w:sz w:val="28"/>
          <w:szCs w:val="28"/>
          <w:highlight w:val="none"/>
        </w:rPr>
      </w:pPr>
    </w:p>
    <w:p>
      <w:pPr>
        <w:shd w:val="clear"/>
        <w:spacing w:line="480" w:lineRule="auto"/>
        <w:jc w:val="center"/>
        <w:rPr>
          <w:rFonts w:hint="eastAsia" w:ascii="仿宋" w:hAnsi="仿宋" w:eastAsia="仿宋" w:cs="仿宋"/>
          <w:b/>
          <w:color w:val="auto"/>
          <w:sz w:val="24"/>
          <w:highlight w:val="none"/>
        </w:rPr>
      </w:pPr>
    </w:p>
    <w:p>
      <w:pPr>
        <w:shd w:val="clear"/>
        <w:spacing w:line="480" w:lineRule="auto"/>
        <w:jc w:val="center"/>
        <w:rPr>
          <w:rFonts w:hint="eastAsia" w:ascii="仿宋" w:hAnsi="仿宋" w:eastAsia="仿宋" w:cs="仿宋"/>
          <w:b/>
          <w:color w:val="auto"/>
          <w:sz w:val="24"/>
          <w:highlight w:val="none"/>
        </w:rPr>
      </w:pPr>
    </w:p>
    <w:p>
      <w:pPr>
        <w:shd w:val="clea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pPr>
        <w:shd w:val="clea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0"/>
        <w:shd w:val="clear"/>
        <w:ind w:left="0" w:leftChars="0" w:firstLine="0" w:firstLineChars="0"/>
        <w:rPr>
          <w:rFonts w:hint="eastAsia" w:ascii="仿宋" w:hAnsi="仿宋" w:eastAsia="仿宋" w:cs="仿宋"/>
          <w:color w:val="auto"/>
          <w:szCs w:val="24"/>
          <w:highlight w:val="none"/>
        </w:rPr>
      </w:pPr>
    </w:p>
    <w:p>
      <w:pPr>
        <w:pStyle w:val="700"/>
        <w:shd w:val="clear"/>
        <w:jc w:val="center"/>
        <w:rPr>
          <w:rFonts w:hint="eastAsia" w:ascii="仿宋" w:hAnsi="仿宋" w:eastAsia="仿宋" w:cs="仿宋"/>
          <w:color w:val="auto"/>
          <w:szCs w:val="24"/>
          <w:highlight w:val="none"/>
        </w:rPr>
      </w:pPr>
    </w:p>
    <w:p>
      <w:pPr>
        <w:pStyle w:val="700"/>
        <w:shd w:val="clear"/>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第一部分合同书</w:t>
      </w:r>
    </w:p>
    <w:p>
      <w:pPr>
        <w:pStyle w:val="700"/>
        <w:shd w:val="clear"/>
        <w:rPr>
          <w:rFonts w:hint="eastAsia" w:ascii="仿宋" w:hAnsi="仿宋" w:eastAsia="仿宋" w:cs="仿宋"/>
          <w:color w:val="auto"/>
          <w:szCs w:val="24"/>
          <w:highlight w:val="none"/>
        </w:rPr>
      </w:pPr>
    </w:p>
    <w:p>
      <w:pPr>
        <w:pStyle w:val="700"/>
        <w:shd w:val="clear"/>
        <w:rPr>
          <w:rFonts w:hint="eastAsia" w:ascii="仿宋" w:hAnsi="仿宋" w:eastAsia="仿宋" w:cs="仿宋"/>
          <w:color w:val="auto"/>
          <w:szCs w:val="24"/>
          <w:highlight w:val="none"/>
        </w:rPr>
      </w:pPr>
    </w:p>
    <w:p>
      <w:pPr>
        <w:shd w:val="clear"/>
        <w:spacing w:before="120" w:line="22" w:lineRule="atLeast"/>
        <w:rPr>
          <w:rFonts w:hint="eastAsia" w:ascii="仿宋" w:hAnsi="仿宋" w:eastAsia="仿宋" w:cs="仿宋"/>
          <w:color w:val="auto"/>
          <w:sz w:val="24"/>
          <w:highlight w:val="none"/>
        </w:rPr>
      </w:pPr>
    </w:p>
    <w:p>
      <w:pPr>
        <w:shd w:val="clea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7"/>
        <w:shd w:val="clear"/>
        <w:spacing w:before="120" w:line="22" w:lineRule="atLeast"/>
        <w:rPr>
          <w:rFonts w:hint="eastAsia" w:ascii="仿宋" w:hAnsi="仿宋" w:eastAsia="仿宋" w:cs="仿宋"/>
          <w:color w:val="auto"/>
          <w:szCs w:val="24"/>
          <w:highlight w:val="none"/>
        </w:rPr>
      </w:pPr>
    </w:p>
    <w:p>
      <w:pPr>
        <w:pStyle w:val="597"/>
        <w:shd w:val="clear"/>
        <w:spacing w:before="120" w:line="22" w:lineRule="atLeast"/>
        <w:rPr>
          <w:rFonts w:hint="eastAsia" w:ascii="仿宋" w:hAnsi="仿宋" w:eastAsia="仿宋" w:cs="仿宋"/>
          <w:color w:val="auto"/>
          <w:szCs w:val="24"/>
          <w:highlight w:val="none"/>
        </w:rPr>
      </w:pPr>
    </w:p>
    <w:p>
      <w:pPr>
        <w:shd w:val="clear"/>
        <w:rPr>
          <w:rFonts w:hint="eastAsia" w:ascii="仿宋" w:hAnsi="仿宋" w:eastAsia="仿宋" w:cs="仿宋"/>
          <w:color w:val="auto"/>
          <w:sz w:val="24"/>
          <w:highlight w:val="none"/>
        </w:rPr>
      </w:pPr>
    </w:p>
    <w:p>
      <w:pPr>
        <w:shd w:val="clea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hd w:val="clear"/>
        <w:spacing w:before="120" w:line="22" w:lineRule="atLeast"/>
        <w:rPr>
          <w:rFonts w:hint="eastAsia" w:ascii="仿宋" w:hAnsi="仿宋" w:eastAsia="仿宋" w:cs="仿宋"/>
          <w:color w:val="auto"/>
          <w:sz w:val="24"/>
          <w:highlight w:val="none"/>
        </w:rPr>
      </w:pPr>
    </w:p>
    <w:p>
      <w:pPr>
        <w:shd w:val="clea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hd w:val="clear"/>
        <w:spacing w:before="120" w:line="22" w:lineRule="atLeast"/>
        <w:rPr>
          <w:rFonts w:hint="eastAsia" w:ascii="仿宋" w:hAnsi="仿宋" w:eastAsia="仿宋" w:cs="仿宋"/>
          <w:color w:val="auto"/>
          <w:sz w:val="24"/>
          <w:highlight w:val="none"/>
        </w:rPr>
      </w:pPr>
    </w:p>
    <w:p>
      <w:pPr>
        <w:shd w:val="clea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hd w:val="clear"/>
        <w:spacing w:before="120" w:line="22" w:lineRule="atLeast"/>
        <w:rPr>
          <w:rFonts w:hint="eastAsia" w:ascii="仿宋" w:hAnsi="仿宋" w:eastAsia="仿宋" w:cs="仿宋"/>
          <w:color w:val="auto"/>
          <w:sz w:val="24"/>
          <w:highlight w:val="none"/>
        </w:rPr>
      </w:pPr>
    </w:p>
    <w:p>
      <w:pPr>
        <w:shd w:val="clea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shd w:val="clear"/>
        <w:jc w:val="left"/>
        <w:rPr>
          <w:rFonts w:hint="eastAsia" w:ascii="仿宋" w:hAnsi="仿宋" w:eastAsia="仿宋" w:cs="仿宋"/>
          <w:color w:val="auto"/>
          <w:kern w:val="0"/>
          <w:sz w:val="24"/>
          <w:highlight w:val="none"/>
        </w:rPr>
        <w:sectPr>
          <w:pgSz w:w="11907" w:h="16840"/>
          <w:pgMar w:top="1814" w:right="1474" w:bottom="1814" w:left="1474" w:header="851" w:footer="851" w:gutter="0"/>
          <w:pgBorders>
            <w:top w:val="none" w:sz="0" w:space="0"/>
            <w:left w:val="none" w:sz="0" w:space="0"/>
            <w:bottom w:val="none" w:sz="0" w:space="0"/>
            <w:right w:val="none" w:sz="0" w:space="0"/>
          </w:pgBorders>
          <w:cols w:space="720" w:num="1"/>
        </w:sectPr>
      </w:pP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hd w:val="clear"/>
        <w:spacing w:line="560" w:lineRule="exact"/>
        <w:ind w:firstLine="482" w:firstLineChars="200"/>
        <w:outlineLvl w:val="0"/>
        <w:rPr>
          <w:rFonts w:hint="eastAsia" w:ascii="仿宋" w:hAnsi="仿宋" w:eastAsia="仿宋" w:cs="仿宋"/>
          <w:b/>
          <w:color w:val="auto"/>
          <w:sz w:val="24"/>
          <w:highlight w:val="none"/>
        </w:rPr>
      </w:pPr>
      <w:bookmarkStart w:id="39" w:name="_Toc2232"/>
      <w:bookmarkStart w:id="40" w:name="_Toc24059"/>
      <w:bookmarkStart w:id="41" w:name="_Toc3029"/>
      <w:r>
        <w:rPr>
          <w:rFonts w:hint="eastAsia" w:ascii="仿宋" w:hAnsi="仿宋" w:eastAsia="仿宋" w:cs="仿宋"/>
          <w:b/>
          <w:color w:val="auto"/>
          <w:sz w:val="24"/>
          <w:highlight w:val="none"/>
        </w:rPr>
        <w:t>1.1 合同组成部分</w:t>
      </w:r>
      <w:bookmarkEnd w:id="39"/>
      <w:bookmarkEnd w:id="40"/>
      <w:bookmarkEnd w:id="41"/>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hd w:val="clear"/>
        <w:spacing w:line="560" w:lineRule="exact"/>
        <w:ind w:firstLine="482" w:firstLineChars="200"/>
        <w:outlineLvl w:val="0"/>
        <w:rPr>
          <w:rFonts w:hint="eastAsia" w:ascii="仿宋" w:hAnsi="仿宋" w:eastAsia="仿宋" w:cs="仿宋"/>
          <w:b/>
          <w:color w:val="auto"/>
          <w:sz w:val="24"/>
          <w:highlight w:val="none"/>
        </w:rPr>
      </w:pPr>
      <w:bookmarkStart w:id="42" w:name="_Toc27126"/>
      <w:bookmarkStart w:id="43" w:name="_Toc21295"/>
      <w:bookmarkStart w:id="44" w:name="_Toc24300"/>
      <w:r>
        <w:rPr>
          <w:rFonts w:hint="eastAsia" w:ascii="仿宋" w:hAnsi="仿宋" w:eastAsia="仿宋" w:cs="仿宋"/>
          <w:b/>
          <w:color w:val="auto"/>
          <w:sz w:val="24"/>
          <w:highlight w:val="none"/>
        </w:rPr>
        <w:t>1.2 货物</w:t>
      </w:r>
      <w:bookmarkEnd w:id="42"/>
      <w:bookmarkEnd w:id="43"/>
      <w:bookmarkEnd w:id="44"/>
    </w:p>
    <w:p>
      <w:pPr>
        <w:shd w:val="clea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p>
    <w:p>
      <w:pPr>
        <w:shd w:val="clea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p>
    <w:p>
      <w:pPr>
        <w:shd w:val="clea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hd w:val="clear"/>
        <w:spacing w:line="560" w:lineRule="exact"/>
        <w:ind w:firstLine="482" w:firstLineChars="200"/>
        <w:outlineLvl w:val="0"/>
        <w:rPr>
          <w:rFonts w:hint="eastAsia" w:ascii="仿宋" w:hAnsi="仿宋" w:eastAsia="仿宋" w:cs="仿宋"/>
          <w:b/>
          <w:color w:val="auto"/>
          <w:sz w:val="24"/>
          <w:highlight w:val="none"/>
        </w:rPr>
      </w:pPr>
      <w:bookmarkStart w:id="45" w:name="_Toc21551"/>
      <w:bookmarkStart w:id="46" w:name="_Toc21631"/>
      <w:bookmarkStart w:id="47" w:name="_Toc23292"/>
      <w:r>
        <w:rPr>
          <w:rFonts w:hint="eastAsia" w:ascii="仿宋" w:hAnsi="仿宋" w:eastAsia="仿宋" w:cs="仿宋"/>
          <w:b/>
          <w:color w:val="auto"/>
          <w:sz w:val="24"/>
          <w:highlight w:val="none"/>
        </w:rPr>
        <w:t>1.3 价款</w:t>
      </w:r>
      <w:bookmarkEnd w:id="45"/>
      <w:bookmarkEnd w:id="46"/>
      <w:bookmarkEnd w:id="47"/>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本合同总价（含税）为：￥元（大写：元人民币）。</w:t>
      </w:r>
    </w:p>
    <w:p>
      <w:pPr>
        <w:shd w:val="clea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hd w:val="clear"/>
              <w:autoSpaceDE w:val="0"/>
              <w:autoSpaceDN w:val="0"/>
              <w:spacing w:line="5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hd w:val="clear"/>
              <w:autoSpaceDE w:val="0"/>
              <w:autoSpaceDN w:val="0"/>
              <w:spacing w:line="560" w:lineRule="exact"/>
              <w:ind w:firstLine="20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hd w:val="clear"/>
              <w:autoSpaceDE w:val="0"/>
              <w:autoSpaceDN w:val="0"/>
              <w:spacing w:line="5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hd w:val="clear"/>
              <w:spacing w:line="560" w:lineRule="exact"/>
              <w:ind w:firstLine="20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shd w:val="clear"/>
              <w:tabs>
                <w:tab w:val="left" w:pos="432"/>
              </w:tabs>
              <w:spacing w:line="560" w:lineRule="exact"/>
              <w:ind w:firstLine="200"/>
              <w:jc w:val="center"/>
              <w:textAlignment w:val="center"/>
              <w:outlineLvl w:val="0"/>
              <w:rPr>
                <w:rFonts w:hint="eastAsia" w:ascii="仿宋" w:hAnsi="仿宋" w:eastAsia="仿宋" w:cs="仿宋"/>
                <w:color w:val="auto"/>
                <w:sz w:val="24"/>
                <w:szCs w:val="24"/>
                <w:highlight w:val="none"/>
              </w:rPr>
            </w:pPr>
          </w:p>
        </w:tc>
      </w:tr>
    </w:tbl>
    <w:p>
      <w:pPr>
        <w:pStyle w:val="958"/>
        <w:shd w:val="clear"/>
        <w:spacing w:before="0" w:beforeAutospacing="0" w:after="0" w:afterAutospacing="0" w:line="360" w:lineRule="auto"/>
        <w:ind w:firstLine="480"/>
        <w:rPr>
          <w:rFonts w:hint="eastAsia" w:ascii="仿宋" w:hAnsi="仿宋" w:eastAsia="仿宋" w:cs="仿宋"/>
          <w:b/>
          <w:color w:val="auto"/>
          <w:highlight w:val="none"/>
        </w:rPr>
      </w:pPr>
      <w:bookmarkStart w:id="48" w:name="_Toc1814"/>
      <w:bookmarkStart w:id="49" w:name="_Toc22618"/>
      <w:bookmarkStart w:id="50" w:name="_Toc10340"/>
      <w:r>
        <w:rPr>
          <w:rFonts w:hint="eastAsia" w:ascii="仿宋" w:hAnsi="仿宋" w:eastAsia="仿宋" w:cs="仿宋"/>
          <w:b/>
          <w:color w:val="auto"/>
          <w:highlight w:val="none"/>
        </w:rPr>
        <w:t>1.4履约保证金</w:t>
      </w:r>
    </w:p>
    <w:p>
      <w:pPr>
        <w:pStyle w:val="958"/>
        <w:shd w:val="clear"/>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pPr>
        <w:shd w:val="clea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pPr>
        <w:shd w:val="clea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5"/>
        <w:shd w:val="clear"/>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hd w:val="clea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hd w:val="clea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8"/>
      <w:bookmarkEnd w:id="49"/>
      <w:bookmarkEnd w:id="50"/>
      <w:r>
        <w:rPr>
          <w:rFonts w:hint="eastAsia" w:ascii="仿宋" w:hAnsi="仿宋" w:eastAsia="仿宋" w:cs="仿宋"/>
          <w:b/>
          <w:color w:val="auto"/>
          <w:sz w:val="24"/>
          <w:highlight w:val="none"/>
        </w:rPr>
        <w:t>预付款</w:t>
      </w:r>
    </w:p>
    <w:p>
      <w:pPr>
        <w:pStyle w:val="958"/>
        <w:shd w:val="clear"/>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pPr>
        <w:shd w:val="clea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58"/>
        <w:shd w:val="clear"/>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hd w:val="clear"/>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hd w:val="clear"/>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hd w:val="clear"/>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hd w:val="clea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hint="eastAsia" w:ascii="仿宋" w:hAnsi="仿宋" w:eastAsia="仿宋" w:cs="仿宋"/>
          <w:b/>
          <w:color w:val="auto"/>
          <w:sz w:val="24"/>
          <w:highlight w:val="none"/>
        </w:rPr>
      </w:pPr>
      <w:bookmarkStart w:id="51" w:name="_Toc32071"/>
      <w:bookmarkStart w:id="52" w:name="_Toc2846"/>
      <w:bookmarkStart w:id="53" w:name="_Toc19304"/>
      <w:r>
        <w:rPr>
          <w:rFonts w:hint="eastAsia" w:ascii="仿宋" w:hAnsi="仿宋" w:eastAsia="仿宋" w:cs="仿宋"/>
          <w:b/>
          <w:color w:val="auto"/>
          <w:sz w:val="24"/>
          <w:highlight w:val="none"/>
        </w:rPr>
        <w:t>1.7货物交付期限、地点和方式</w:t>
      </w:r>
      <w:bookmarkEnd w:id="51"/>
      <w:bookmarkEnd w:id="52"/>
      <w:bookmarkEnd w:id="53"/>
    </w:p>
    <w:p>
      <w:pPr>
        <w:shd w:val="clea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hint="eastAsia" w:ascii="仿宋" w:hAnsi="仿宋" w:eastAsia="仿宋" w:cs="仿宋"/>
          <w:b/>
          <w:color w:val="auto"/>
          <w:sz w:val="24"/>
          <w:highlight w:val="none"/>
        </w:rPr>
      </w:pPr>
      <w:bookmarkStart w:id="54" w:name="_Toc21423"/>
      <w:bookmarkStart w:id="55" w:name="_Toc27250"/>
      <w:bookmarkStart w:id="56" w:name="_Toc19554"/>
      <w:r>
        <w:rPr>
          <w:rFonts w:hint="eastAsia" w:ascii="仿宋" w:hAnsi="仿宋" w:eastAsia="仿宋" w:cs="仿宋"/>
          <w:b/>
          <w:color w:val="auto"/>
          <w:sz w:val="24"/>
          <w:highlight w:val="none"/>
        </w:rPr>
        <w:t>1.8违约责任</w:t>
      </w:r>
      <w:bookmarkEnd w:id="54"/>
      <w:bookmarkEnd w:id="55"/>
      <w:bookmarkEnd w:id="56"/>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1.8.5如果出现采购监督管理部门在处理投诉事项期间，书面通知甲方暂停采购活动的情形，或者询问或质疑事项可能影响中标或者成交结果的，导致甲方中止履行合同的情形，均不视为甲方违约。</w:t>
      </w:r>
    </w:p>
    <w:p>
      <w:pPr>
        <w:shd w:val="clea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hd w:val="clear"/>
        <w:spacing w:line="560" w:lineRule="exact"/>
        <w:ind w:firstLine="482" w:firstLineChars="200"/>
        <w:outlineLvl w:val="0"/>
        <w:rPr>
          <w:rFonts w:hint="eastAsia" w:ascii="仿宋" w:hAnsi="仿宋" w:eastAsia="仿宋" w:cs="仿宋"/>
          <w:b/>
          <w:color w:val="auto"/>
          <w:sz w:val="24"/>
          <w:highlight w:val="none"/>
        </w:rPr>
      </w:pPr>
      <w:bookmarkStart w:id="57" w:name="_Toc16021"/>
      <w:bookmarkStart w:id="58" w:name="_Toc15583"/>
      <w:bookmarkStart w:id="59" w:name="_Toc28375"/>
      <w:r>
        <w:rPr>
          <w:rFonts w:hint="eastAsia" w:ascii="仿宋" w:hAnsi="仿宋" w:eastAsia="仿宋" w:cs="仿宋"/>
          <w:b/>
          <w:color w:val="auto"/>
          <w:sz w:val="24"/>
          <w:highlight w:val="none"/>
        </w:rPr>
        <w:t>1.9合同争议的解决</w:t>
      </w:r>
      <w:bookmarkEnd w:id="57"/>
      <w:bookmarkEnd w:id="58"/>
      <w:bookmarkEnd w:id="59"/>
    </w:p>
    <w:p>
      <w:pPr>
        <w:shd w:val="clea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本合同履行过程中发生的任何争议，双方当事人均可通过和解或者调解解决；不愿和解、调解或者和解、调解不成的，可以选择以下第条款规定的方式解决：</w:t>
      </w:r>
    </w:p>
    <w:p>
      <w:pPr>
        <w:shd w:val="clea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hd w:val="clea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hd w:val="clear"/>
        <w:spacing w:line="560" w:lineRule="exact"/>
        <w:ind w:firstLine="482" w:firstLineChars="200"/>
        <w:outlineLvl w:val="0"/>
        <w:rPr>
          <w:rFonts w:hint="eastAsia" w:ascii="仿宋" w:hAnsi="仿宋" w:eastAsia="仿宋" w:cs="仿宋"/>
          <w:b/>
          <w:color w:val="auto"/>
          <w:sz w:val="24"/>
          <w:highlight w:val="none"/>
        </w:rPr>
      </w:pPr>
      <w:bookmarkStart w:id="60" w:name="_Toc15322"/>
      <w:bookmarkStart w:id="61" w:name="_Toc7245"/>
      <w:bookmarkStart w:id="62" w:name="_Toc11173"/>
      <w:r>
        <w:rPr>
          <w:rFonts w:hint="eastAsia" w:ascii="仿宋" w:hAnsi="仿宋" w:eastAsia="仿宋" w:cs="仿宋"/>
          <w:b/>
          <w:color w:val="auto"/>
          <w:sz w:val="24"/>
          <w:highlight w:val="none"/>
        </w:rPr>
        <w:t>2.0 合同生效</w:t>
      </w:r>
      <w:bookmarkEnd w:id="60"/>
      <w:bookmarkEnd w:id="61"/>
      <w:bookmarkEnd w:id="62"/>
    </w:p>
    <w:p>
      <w:pPr>
        <w:shd w:val="clea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shd w:val="clear"/>
        <w:autoSpaceDE w:val="0"/>
        <w:autoSpaceDN w:val="0"/>
        <w:spacing w:line="560" w:lineRule="exact"/>
        <w:rPr>
          <w:rFonts w:hint="eastAsia" w:ascii="仿宋" w:hAnsi="仿宋" w:eastAsia="仿宋" w:cs="仿宋"/>
          <w:color w:val="auto"/>
          <w:sz w:val="24"/>
          <w:highlight w:val="none"/>
          <w:lang w:val="zh-CN"/>
        </w:rPr>
      </w:pP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pPr>
        <w:shd w:val="clear"/>
        <w:autoSpaceDE w:val="0"/>
        <w:autoSpaceDN w:val="0"/>
        <w:spacing w:line="560" w:lineRule="exact"/>
        <w:rPr>
          <w:rFonts w:hint="eastAsia" w:ascii="仿宋" w:hAnsi="仿宋" w:eastAsia="仿宋" w:cs="仿宋"/>
          <w:color w:val="auto"/>
          <w:sz w:val="24"/>
          <w:highlight w:val="none"/>
          <w:lang w:val="zh-CN"/>
        </w:rPr>
      </w:pP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shd w:val="clea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shd w:val="clea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pPr>
        <w:shd w:val="clea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shd w:val="clea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shd w:val="clea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pStyle w:val="5"/>
        <w:shd w:val="clear"/>
        <w:rPr>
          <w:rFonts w:hint="eastAsia" w:ascii="仿宋" w:hAnsi="仿宋" w:eastAsia="仿宋" w:cs="仿宋"/>
          <w:color w:val="auto"/>
          <w:sz w:val="24"/>
          <w:highlight w:val="none"/>
        </w:rPr>
      </w:pPr>
    </w:p>
    <w:p>
      <w:pPr>
        <w:shd w:val="clear"/>
        <w:rPr>
          <w:rFonts w:hint="eastAsia" w:ascii="仿宋" w:hAnsi="仿宋" w:eastAsia="仿宋" w:cs="仿宋"/>
          <w:color w:val="auto"/>
          <w:sz w:val="24"/>
          <w:highlight w:val="none"/>
        </w:rPr>
      </w:pPr>
    </w:p>
    <w:p>
      <w:pPr>
        <w:pStyle w:val="5"/>
        <w:shd w:val="clear"/>
        <w:rPr>
          <w:rFonts w:hint="eastAsia" w:ascii="仿宋" w:hAnsi="仿宋" w:eastAsia="仿宋" w:cs="仿宋"/>
          <w:color w:val="auto"/>
          <w:sz w:val="24"/>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shd w:val="clear"/>
        <w:rPr>
          <w:rFonts w:hint="eastAsia" w:ascii="仿宋" w:hAnsi="仿宋" w:eastAsia="仿宋" w:cs="仿宋"/>
          <w:color w:val="auto"/>
          <w:sz w:val="24"/>
          <w:highlight w:val="none"/>
        </w:rPr>
      </w:pPr>
    </w:p>
    <w:p>
      <w:pPr>
        <w:pStyle w:val="5"/>
        <w:shd w:val="clear"/>
        <w:rPr>
          <w:rFonts w:hint="eastAsia" w:ascii="仿宋" w:hAnsi="仿宋" w:eastAsia="仿宋" w:cs="仿宋"/>
          <w:color w:val="auto"/>
          <w:sz w:val="24"/>
          <w:highlight w:val="none"/>
        </w:rPr>
      </w:pPr>
    </w:p>
    <w:p>
      <w:pPr>
        <w:shd w:val="clear"/>
        <w:rPr>
          <w:rFonts w:hint="eastAsia" w:ascii="仿宋" w:hAnsi="仿宋" w:eastAsia="仿宋" w:cs="仿宋"/>
          <w:color w:val="auto"/>
          <w:sz w:val="24"/>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700"/>
        <w:shd w:val="clear"/>
        <w:spacing w:line="560" w:lineRule="exact"/>
        <w:ind w:firstLine="482"/>
        <w:jc w:val="center"/>
        <w:rPr>
          <w:rFonts w:hint="eastAsia" w:ascii="仿宋" w:hAnsi="仿宋" w:eastAsia="仿宋" w:cs="仿宋"/>
          <w:b/>
          <w:color w:val="auto"/>
          <w:szCs w:val="24"/>
          <w:highlight w:val="none"/>
        </w:rPr>
      </w:pPr>
    </w:p>
    <w:p>
      <w:pPr>
        <w:pStyle w:val="700"/>
        <w:shd w:val="clear"/>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第二部分合同一般条款</w:t>
      </w:r>
    </w:p>
    <w:p>
      <w:pPr>
        <w:shd w:val="clear"/>
        <w:spacing w:line="560" w:lineRule="exact"/>
        <w:ind w:firstLine="482" w:firstLineChars="200"/>
        <w:outlineLvl w:val="0"/>
        <w:rPr>
          <w:rFonts w:hint="eastAsia" w:ascii="仿宋" w:hAnsi="仿宋" w:eastAsia="仿宋" w:cs="仿宋"/>
          <w:b/>
          <w:color w:val="auto"/>
          <w:sz w:val="24"/>
          <w:highlight w:val="none"/>
        </w:rPr>
      </w:pPr>
      <w:bookmarkStart w:id="63" w:name="_Ref467379109"/>
      <w:bookmarkStart w:id="64" w:name="_Ref467379101"/>
      <w:bookmarkStart w:id="65" w:name="_Toc487900349"/>
      <w:bookmarkStart w:id="66" w:name="_Toc19614"/>
      <w:bookmarkStart w:id="67" w:name="_Ref467379225"/>
      <w:bookmarkStart w:id="68" w:name="_Ref467379094"/>
      <w:bookmarkStart w:id="69" w:name="_Toc28763"/>
      <w:bookmarkStart w:id="70" w:name="_Ref467379205"/>
      <w:bookmarkStart w:id="71" w:name="_Ref467378499"/>
      <w:bookmarkStart w:id="72" w:name="_Ref467379214"/>
      <w:bookmarkStart w:id="73" w:name="_Toc16917"/>
      <w:bookmarkStart w:id="74" w:name="_Ref467378404"/>
      <w:bookmarkStart w:id="75" w:name="_Toc279701240"/>
      <w:bookmarkStart w:id="76" w:name="_Ref467378463"/>
      <w:bookmarkStart w:id="77" w:name="_Toc259093669"/>
      <w:bookmarkStart w:id="78" w:name="_Ref467379195"/>
      <w:r>
        <w:rPr>
          <w:rFonts w:hint="eastAsia" w:ascii="仿宋" w:hAnsi="仿宋" w:eastAsia="仿宋" w:cs="仿宋"/>
          <w:b/>
          <w:color w:val="auto"/>
          <w:sz w:val="24"/>
          <w:highlight w:val="none"/>
        </w:rPr>
        <w:t>2.1 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hd w:val="clear"/>
        <w:spacing w:line="560" w:lineRule="exact"/>
        <w:ind w:firstLine="480" w:firstLineChars="200"/>
        <w:rPr>
          <w:rFonts w:hint="eastAsia" w:ascii="仿宋" w:hAnsi="仿宋" w:eastAsia="仿宋" w:cs="仿宋"/>
          <w:color w:val="auto"/>
          <w:sz w:val="24"/>
          <w:highlight w:val="none"/>
        </w:rPr>
      </w:pPr>
      <w:bookmarkStart w:id="79" w:name="_Ref467378840"/>
      <w:r>
        <w:rPr>
          <w:rFonts w:hint="eastAsia" w:ascii="仿宋" w:hAnsi="仿宋" w:eastAsia="仿宋" w:cs="仿宋"/>
          <w:color w:val="auto"/>
          <w:sz w:val="24"/>
          <w:highlight w:val="none"/>
        </w:rPr>
        <w:t>2.1.4 “甲方”系指与中标或成交供应商签署合同的采购人</w:t>
      </w:r>
      <w:bookmarkEnd w:id="79"/>
      <w:r>
        <w:rPr>
          <w:rFonts w:hint="eastAsia" w:ascii="仿宋" w:hAnsi="仿宋" w:eastAsia="仿宋" w:cs="仿宋"/>
          <w:color w:val="auto"/>
          <w:sz w:val="24"/>
          <w:highlight w:val="none"/>
        </w:rPr>
        <w:t>；采购人委托采购代理机构代表其与乙方签订合同的，采购人的授权委托书作为合同附件。</w:t>
      </w:r>
    </w:p>
    <w:p>
      <w:pPr>
        <w:shd w:val="clear"/>
        <w:spacing w:line="560" w:lineRule="exact"/>
        <w:ind w:firstLine="480" w:firstLineChars="200"/>
        <w:rPr>
          <w:rFonts w:hint="eastAsia" w:ascii="仿宋" w:hAnsi="仿宋" w:eastAsia="仿宋" w:cs="仿宋"/>
          <w:color w:val="auto"/>
          <w:sz w:val="24"/>
          <w:highlight w:val="none"/>
        </w:rPr>
      </w:pPr>
      <w:bookmarkStart w:id="80" w:name="_Ref467379400"/>
      <w:r>
        <w:rPr>
          <w:rFonts w:hint="eastAsia" w:ascii="仿宋" w:hAnsi="仿宋" w:eastAsia="仿宋" w:cs="仿宋"/>
          <w:color w:val="auto"/>
          <w:sz w:val="24"/>
          <w:highlight w:val="none"/>
        </w:rPr>
        <w:t>2.1.5 “乙方”系指根据合同约定交付货物的中标或成交供应商</w:t>
      </w:r>
      <w:bookmarkEnd w:id="80"/>
      <w:r>
        <w:rPr>
          <w:rFonts w:hint="eastAsia" w:ascii="仿宋" w:hAnsi="仿宋" w:eastAsia="仿宋" w:cs="仿宋"/>
          <w:color w:val="auto"/>
          <w:sz w:val="24"/>
          <w:highlight w:val="none"/>
        </w:rPr>
        <w:t>；两个以上的自然人、法人或者其他组织组成一个联合体，以一个供应商的身份共同参加采购的，联合体各方均应为乙方或者与乙方相同地位的合同当事人，并就合同约定的事项对甲方承担连带责任。</w:t>
      </w:r>
    </w:p>
    <w:p>
      <w:pPr>
        <w:shd w:val="clear"/>
        <w:spacing w:line="560" w:lineRule="exact"/>
        <w:ind w:firstLine="480" w:firstLineChars="200"/>
        <w:rPr>
          <w:rFonts w:hint="eastAsia" w:ascii="仿宋" w:hAnsi="仿宋" w:eastAsia="仿宋" w:cs="仿宋"/>
          <w:color w:val="auto"/>
          <w:sz w:val="24"/>
          <w:highlight w:val="none"/>
        </w:rPr>
      </w:pPr>
      <w:bookmarkStart w:id="81" w:name="_Ref467379436"/>
      <w:r>
        <w:rPr>
          <w:rFonts w:hint="eastAsia" w:ascii="仿宋" w:hAnsi="仿宋" w:eastAsia="仿宋" w:cs="仿宋"/>
          <w:color w:val="auto"/>
          <w:sz w:val="24"/>
          <w:highlight w:val="none"/>
        </w:rPr>
        <w:t>2.1.6 “现场”系指合同约定货物将要运至或者安装的地点。</w:t>
      </w:r>
      <w:bookmarkEnd w:id="81"/>
    </w:p>
    <w:p>
      <w:pPr>
        <w:shd w:val="clear"/>
        <w:spacing w:line="560" w:lineRule="exact"/>
        <w:ind w:firstLine="482" w:firstLineChars="200"/>
        <w:outlineLvl w:val="0"/>
        <w:rPr>
          <w:rFonts w:hint="eastAsia" w:ascii="仿宋" w:hAnsi="仿宋" w:eastAsia="仿宋" w:cs="仿宋"/>
          <w:b/>
          <w:color w:val="auto"/>
          <w:sz w:val="24"/>
          <w:highlight w:val="none"/>
        </w:rPr>
      </w:pPr>
      <w:bookmarkStart w:id="82" w:name="_Toc13336"/>
      <w:bookmarkStart w:id="83" w:name="_Toc32504"/>
      <w:bookmarkStart w:id="84" w:name="_Toc487900350"/>
      <w:bookmarkStart w:id="85" w:name="_Toc27635"/>
      <w:bookmarkStart w:id="86" w:name="_Toc279701241"/>
      <w:bookmarkStart w:id="87" w:name="_Toc259093670"/>
      <w:r>
        <w:rPr>
          <w:rFonts w:hint="eastAsia" w:ascii="仿宋" w:hAnsi="仿宋" w:eastAsia="仿宋" w:cs="仿宋"/>
          <w:b/>
          <w:color w:val="auto"/>
          <w:sz w:val="24"/>
          <w:highlight w:val="none"/>
        </w:rPr>
        <w:t>2.2 技术规范</w:t>
      </w:r>
      <w:bookmarkEnd w:id="82"/>
      <w:bookmarkEnd w:id="83"/>
      <w:bookmarkEnd w:id="84"/>
      <w:bookmarkEnd w:id="85"/>
      <w:bookmarkEnd w:id="86"/>
      <w:bookmarkEnd w:id="87"/>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hd w:val="clear"/>
        <w:spacing w:line="560" w:lineRule="exact"/>
        <w:ind w:firstLine="482" w:firstLineChars="200"/>
        <w:outlineLvl w:val="0"/>
        <w:rPr>
          <w:rFonts w:hint="eastAsia" w:ascii="仿宋" w:hAnsi="仿宋" w:eastAsia="仿宋" w:cs="仿宋"/>
          <w:b/>
          <w:color w:val="auto"/>
          <w:sz w:val="24"/>
          <w:highlight w:val="none"/>
        </w:rPr>
      </w:pPr>
      <w:bookmarkStart w:id="88" w:name="_Toc279701242"/>
      <w:bookmarkStart w:id="89" w:name="_Toc259093671"/>
      <w:bookmarkStart w:id="90" w:name="_Toc27853"/>
      <w:bookmarkStart w:id="91" w:name="_Toc487900351"/>
      <w:bookmarkStart w:id="92" w:name="_Toc9829"/>
      <w:bookmarkStart w:id="93" w:name="_Toc31634"/>
      <w:r>
        <w:rPr>
          <w:rFonts w:hint="eastAsia" w:ascii="仿宋" w:hAnsi="仿宋" w:eastAsia="仿宋" w:cs="仿宋"/>
          <w:b/>
          <w:color w:val="auto"/>
          <w:sz w:val="24"/>
          <w:highlight w:val="none"/>
        </w:rPr>
        <w:t>2.3 知识产权</w:t>
      </w:r>
      <w:bookmarkEnd w:id="88"/>
      <w:bookmarkEnd w:id="89"/>
      <w:bookmarkEnd w:id="90"/>
      <w:bookmarkEnd w:id="91"/>
      <w:bookmarkEnd w:id="92"/>
      <w:bookmarkEnd w:id="93"/>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hint="eastAsia" w:ascii="仿宋" w:hAnsi="仿宋" w:eastAsia="仿宋" w:cs="仿宋"/>
          <w:b/>
          <w:color w:val="auto"/>
          <w:sz w:val="24"/>
          <w:highlight w:val="none"/>
        </w:rPr>
      </w:pPr>
      <w:bookmarkStart w:id="94" w:name="_Toc29149"/>
      <w:bookmarkStart w:id="95" w:name="_Toc4194"/>
      <w:bookmarkStart w:id="96" w:name="_Toc11932"/>
      <w:r>
        <w:rPr>
          <w:rFonts w:hint="eastAsia" w:ascii="仿宋" w:hAnsi="仿宋" w:eastAsia="仿宋" w:cs="仿宋"/>
          <w:b/>
          <w:color w:val="auto"/>
          <w:sz w:val="24"/>
          <w:highlight w:val="none"/>
        </w:rPr>
        <w:t>2.4 包装和装运</w:t>
      </w:r>
      <w:bookmarkEnd w:id="94"/>
      <w:bookmarkEnd w:id="95"/>
      <w:bookmarkEnd w:id="96"/>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hint="eastAsia" w:ascii="仿宋" w:hAnsi="仿宋" w:eastAsia="仿宋" w:cs="仿宋"/>
          <w:b/>
          <w:color w:val="auto"/>
          <w:sz w:val="24"/>
          <w:highlight w:val="none"/>
        </w:rPr>
      </w:pPr>
      <w:bookmarkStart w:id="97" w:name="_Toc487900354"/>
      <w:bookmarkStart w:id="98" w:name="_Ref467379536"/>
      <w:bookmarkStart w:id="99" w:name="_Ref467378591"/>
      <w:bookmarkStart w:id="100" w:name="_Ref467378541"/>
      <w:bookmarkStart w:id="101" w:name="_Ref467379527"/>
      <w:bookmarkStart w:id="102" w:name="_Toc259093674"/>
      <w:bookmarkStart w:id="103" w:name="_Toc279701245"/>
      <w:bookmarkStart w:id="104" w:name="_Ref467379542"/>
      <w:bookmarkStart w:id="105" w:name="_Toc26182"/>
      <w:bookmarkStart w:id="106" w:name="_Toc19074"/>
      <w:bookmarkStart w:id="107" w:name="_Toc30272"/>
      <w:r>
        <w:rPr>
          <w:rFonts w:hint="eastAsia" w:ascii="仿宋" w:hAnsi="仿宋" w:eastAsia="仿宋" w:cs="仿宋"/>
          <w:b/>
          <w:color w:val="auto"/>
          <w:sz w:val="24"/>
          <w:highlight w:val="none"/>
        </w:rPr>
        <w:t>2.</w:t>
      </w:r>
      <w:bookmarkEnd w:id="97"/>
      <w:bookmarkEnd w:id="98"/>
      <w:bookmarkEnd w:id="99"/>
      <w:bookmarkEnd w:id="100"/>
      <w:bookmarkEnd w:id="101"/>
      <w:bookmarkEnd w:id="102"/>
      <w:bookmarkEnd w:id="103"/>
      <w:bookmarkEnd w:id="104"/>
      <w:r>
        <w:rPr>
          <w:rFonts w:hint="eastAsia" w:ascii="仿宋" w:hAnsi="仿宋" w:eastAsia="仿宋" w:cs="仿宋"/>
          <w:b/>
          <w:color w:val="auto"/>
          <w:sz w:val="24"/>
          <w:highlight w:val="none"/>
        </w:rPr>
        <w:t>5 履约检查和问题反馈</w:t>
      </w:r>
      <w:bookmarkEnd w:id="105"/>
      <w:bookmarkEnd w:id="106"/>
      <w:bookmarkEnd w:id="107"/>
    </w:p>
    <w:p>
      <w:pPr>
        <w:shd w:val="clear"/>
        <w:spacing w:line="560" w:lineRule="exact"/>
        <w:ind w:firstLine="480" w:firstLineChars="200"/>
        <w:rPr>
          <w:rFonts w:hint="eastAsia" w:ascii="仿宋" w:hAnsi="仿宋" w:eastAsia="仿宋" w:cs="仿宋"/>
          <w:color w:val="auto"/>
          <w:sz w:val="24"/>
          <w:highlight w:val="none"/>
        </w:rPr>
      </w:pPr>
      <w:bookmarkStart w:id="108" w:name="_Ref467379657"/>
      <w:r>
        <w:rPr>
          <w:rFonts w:hint="eastAsia" w:ascii="仿宋" w:hAnsi="仿宋" w:eastAsia="仿宋" w:cs="仿宋"/>
          <w:color w:val="auto"/>
          <w:sz w:val="24"/>
          <w:highlight w:val="none"/>
        </w:rPr>
        <w:t>2.5.1</w:t>
      </w:r>
      <w:bookmarkEnd w:id="108"/>
      <w:bookmarkStart w:id="109" w:name="_Toc186431854"/>
      <w:bookmarkStart w:id="110" w:name="_Toc487900357"/>
      <w:bookmarkStart w:id="111" w:name="_Toc259093676"/>
      <w:bookmarkStart w:id="112" w:name="_Ref467379807"/>
      <w:bookmarkStart w:id="113" w:name="_Ref467379793"/>
      <w:bookmarkStart w:id="114"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9"/>
      <w:bookmarkStart w:id="115" w:name="_Toc186431855"/>
      <w:r>
        <w:rPr>
          <w:rFonts w:hint="eastAsia" w:ascii="仿宋" w:hAnsi="仿宋" w:eastAsia="仿宋" w:cs="仿宋"/>
          <w:color w:val="auto"/>
          <w:sz w:val="24"/>
          <w:highlight w:val="none"/>
        </w:rPr>
        <w:t>。</w:t>
      </w:r>
    </w:p>
    <w:bookmarkEnd w:id="110"/>
    <w:bookmarkEnd w:id="111"/>
    <w:bookmarkEnd w:id="112"/>
    <w:bookmarkEnd w:id="113"/>
    <w:bookmarkEnd w:id="114"/>
    <w:bookmarkEnd w:id="115"/>
    <w:p>
      <w:pPr>
        <w:shd w:val="clear"/>
        <w:spacing w:line="560" w:lineRule="exact"/>
        <w:ind w:firstLine="482" w:firstLineChars="200"/>
        <w:outlineLvl w:val="0"/>
        <w:rPr>
          <w:rFonts w:hint="eastAsia" w:ascii="仿宋" w:hAnsi="仿宋" w:eastAsia="仿宋" w:cs="仿宋"/>
          <w:b/>
          <w:color w:val="auto"/>
          <w:sz w:val="24"/>
          <w:highlight w:val="none"/>
        </w:rPr>
      </w:pPr>
      <w:bookmarkStart w:id="116" w:name="_Toc487900358"/>
      <w:bookmarkStart w:id="117" w:name="_Toc259093677"/>
      <w:bookmarkStart w:id="118" w:name="_Ref467379863"/>
      <w:bookmarkStart w:id="119" w:name="_Ref467379852"/>
      <w:bookmarkStart w:id="120" w:name="_Toc279701248"/>
      <w:bookmarkStart w:id="121" w:name="_Ref467379923"/>
      <w:bookmarkStart w:id="122" w:name="_Toc16110"/>
      <w:bookmarkStart w:id="123" w:name="_Toc774"/>
      <w:bookmarkStart w:id="124" w:name="_Toc3225"/>
      <w:r>
        <w:rPr>
          <w:rFonts w:hint="eastAsia" w:ascii="仿宋" w:hAnsi="仿宋" w:eastAsia="仿宋" w:cs="仿宋"/>
          <w:b/>
          <w:color w:val="auto"/>
          <w:sz w:val="24"/>
          <w:highlight w:val="none"/>
        </w:rPr>
        <w:t>2.6 技术资料</w:t>
      </w:r>
      <w:bookmarkEnd w:id="116"/>
      <w:bookmarkEnd w:id="117"/>
      <w:bookmarkEnd w:id="118"/>
      <w:bookmarkEnd w:id="119"/>
      <w:bookmarkEnd w:id="120"/>
      <w:bookmarkEnd w:id="121"/>
      <w:r>
        <w:rPr>
          <w:rFonts w:hint="eastAsia" w:ascii="仿宋" w:hAnsi="仿宋" w:eastAsia="仿宋" w:cs="仿宋"/>
          <w:b/>
          <w:color w:val="auto"/>
          <w:sz w:val="24"/>
          <w:highlight w:val="none"/>
        </w:rPr>
        <w:t>和保密义务</w:t>
      </w:r>
      <w:bookmarkEnd w:id="122"/>
      <w:bookmarkEnd w:id="123"/>
      <w:bookmarkEnd w:id="124"/>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560" w:lineRule="exact"/>
        <w:ind w:firstLine="482" w:firstLineChars="200"/>
        <w:outlineLvl w:val="0"/>
        <w:rPr>
          <w:rFonts w:hint="eastAsia" w:ascii="仿宋" w:hAnsi="仿宋" w:eastAsia="仿宋" w:cs="仿宋"/>
          <w:b/>
          <w:color w:val="auto"/>
          <w:sz w:val="24"/>
          <w:highlight w:val="none"/>
        </w:rPr>
      </w:pPr>
      <w:bookmarkStart w:id="125" w:name="_Toc7860"/>
      <w:r>
        <w:rPr>
          <w:rFonts w:hint="eastAsia" w:ascii="仿宋" w:hAnsi="仿宋" w:eastAsia="仿宋" w:cs="仿宋"/>
          <w:b/>
          <w:color w:val="auto"/>
          <w:sz w:val="24"/>
          <w:highlight w:val="none"/>
        </w:rPr>
        <w:t>2.7 质量保证</w:t>
      </w:r>
      <w:bookmarkEnd w:id="125"/>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hd w:val="clear"/>
        <w:spacing w:line="560" w:lineRule="exact"/>
        <w:ind w:firstLine="482" w:firstLineChars="200"/>
        <w:outlineLvl w:val="0"/>
        <w:rPr>
          <w:rFonts w:hint="eastAsia" w:ascii="仿宋" w:hAnsi="仿宋" w:eastAsia="仿宋" w:cs="仿宋"/>
          <w:b/>
          <w:color w:val="auto"/>
          <w:sz w:val="24"/>
          <w:highlight w:val="none"/>
        </w:rPr>
      </w:pPr>
      <w:bookmarkStart w:id="126" w:name="_Toc17244"/>
      <w:bookmarkStart w:id="127" w:name="_Toc487900362"/>
      <w:bookmarkStart w:id="128" w:name="_Toc279701252"/>
      <w:bookmarkStart w:id="129" w:name="_Toc259093681"/>
      <w:r>
        <w:rPr>
          <w:rFonts w:hint="eastAsia" w:ascii="仿宋" w:hAnsi="仿宋" w:eastAsia="仿宋" w:cs="仿宋"/>
          <w:b/>
          <w:color w:val="auto"/>
          <w:sz w:val="24"/>
          <w:highlight w:val="none"/>
        </w:rPr>
        <w:t>2.8 货物的风险负担</w:t>
      </w:r>
      <w:bookmarkEnd w:id="126"/>
    </w:p>
    <w:p>
      <w:pPr>
        <w:shd w:val="clea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hd w:val="clear"/>
        <w:spacing w:line="560" w:lineRule="exact"/>
        <w:ind w:firstLine="482" w:firstLineChars="200"/>
        <w:outlineLvl w:val="0"/>
        <w:rPr>
          <w:rFonts w:hint="eastAsia" w:ascii="仿宋" w:hAnsi="仿宋" w:eastAsia="仿宋" w:cs="仿宋"/>
          <w:b/>
          <w:color w:val="auto"/>
          <w:sz w:val="24"/>
          <w:highlight w:val="none"/>
        </w:rPr>
      </w:pPr>
      <w:bookmarkStart w:id="130" w:name="_Toc14055"/>
      <w:r>
        <w:rPr>
          <w:rFonts w:hint="eastAsia" w:ascii="仿宋" w:hAnsi="仿宋" w:eastAsia="仿宋" w:cs="仿宋"/>
          <w:b/>
          <w:color w:val="auto"/>
          <w:sz w:val="24"/>
          <w:highlight w:val="none"/>
        </w:rPr>
        <w:t>2.9 延迟交货</w:t>
      </w:r>
      <w:bookmarkEnd w:id="127"/>
      <w:bookmarkEnd w:id="128"/>
      <w:bookmarkEnd w:id="129"/>
      <w:bookmarkEnd w:id="130"/>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hd w:val="clear"/>
        <w:spacing w:line="560" w:lineRule="exact"/>
        <w:ind w:firstLine="482" w:firstLineChars="200"/>
        <w:outlineLvl w:val="0"/>
        <w:rPr>
          <w:rFonts w:hint="eastAsia" w:ascii="仿宋" w:hAnsi="仿宋" w:eastAsia="仿宋" w:cs="仿宋"/>
          <w:b/>
          <w:color w:val="auto"/>
          <w:sz w:val="24"/>
          <w:highlight w:val="none"/>
        </w:rPr>
      </w:pPr>
      <w:bookmarkStart w:id="131" w:name="_Toc7502"/>
      <w:bookmarkStart w:id="132" w:name="_Toc279701254"/>
      <w:bookmarkStart w:id="133" w:name="_Ref467378121"/>
      <w:bookmarkStart w:id="134" w:name="_Toc259093683"/>
      <w:bookmarkStart w:id="135" w:name="_Toc487900364"/>
      <w:r>
        <w:rPr>
          <w:rFonts w:hint="eastAsia" w:ascii="仿宋" w:hAnsi="仿宋" w:eastAsia="仿宋" w:cs="仿宋"/>
          <w:b/>
          <w:color w:val="auto"/>
          <w:sz w:val="24"/>
          <w:highlight w:val="none"/>
        </w:rPr>
        <w:t>2.10 合同变更</w:t>
      </w:r>
      <w:bookmarkEnd w:id="131"/>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6" w:name="_Toc279701259"/>
      <w:bookmarkStart w:id="137" w:name="_Toc487900369"/>
      <w:bookmarkStart w:id="138" w:name="_Toc259093688"/>
    </w:p>
    <w:p>
      <w:pPr>
        <w:shd w:val="clear"/>
        <w:spacing w:line="560" w:lineRule="exact"/>
        <w:ind w:firstLine="482" w:firstLineChars="200"/>
        <w:outlineLvl w:val="0"/>
        <w:rPr>
          <w:rFonts w:hint="eastAsia" w:ascii="仿宋" w:hAnsi="仿宋" w:eastAsia="仿宋" w:cs="仿宋"/>
          <w:b/>
          <w:color w:val="auto"/>
          <w:sz w:val="24"/>
          <w:highlight w:val="none"/>
        </w:rPr>
      </w:pPr>
      <w:bookmarkStart w:id="139" w:name="_Toc22955"/>
      <w:bookmarkStart w:id="140" w:name="_Toc15237"/>
      <w:bookmarkStart w:id="141" w:name="_Toc10366"/>
      <w:r>
        <w:rPr>
          <w:rFonts w:hint="eastAsia" w:ascii="仿宋" w:hAnsi="仿宋" w:eastAsia="仿宋" w:cs="仿宋"/>
          <w:b/>
          <w:color w:val="auto"/>
          <w:sz w:val="24"/>
          <w:highlight w:val="none"/>
        </w:rPr>
        <w:t>2.11 合同转让</w:t>
      </w:r>
      <w:bookmarkEnd w:id="136"/>
      <w:bookmarkEnd w:id="137"/>
      <w:bookmarkEnd w:id="138"/>
      <w:r>
        <w:rPr>
          <w:rFonts w:hint="eastAsia" w:ascii="仿宋" w:hAnsi="仿宋" w:eastAsia="仿宋" w:cs="仿宋"/>
          <w:b/>
          <w:color w:val="auto"/>
          <w:sz w:val="24"/>
          <w:highlight w:val="none"/>
        </w:rPr>
        <w:t>和分包</w:t>
      </w:r>
      <w:bookmarkEnd w:id="139"/>
      <w:bookmarkEnd w:id="140"/>
      <w:bookmarkEnd w:id="141"/>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hd w:val="clear"/>
        <w:spacing w:line="560" w:lineRule="exact"/>
        <w:ind w:firstLine="482" w:firstLineChars="200"/>
        <w:outlineLvl w:val="0"/>
        <w:rPr>
          <w:rFonts w:hint="eastAsia" w:ascii="仿宋" w:hAnsi="仿宋" w:eastAsia="仿宋" w:cs="仿宋"/>
          <w:b/>
          <w:color w:val="auto"/>
          <w:sz w:val="24"/>
          <w:highlight w:val="none"/>
        </w:rPr>
      </w:pPr>
      <w:bookmarkStart w:id="142" w:name="_Toc16508"/>
      <w:bookmarkStart w:id="143" w:name="_Toc13566"/>
      <w:bookmarkStart w:id="144" w:name="_Toc14066"/>
      <w:r>
        <w:rPr>
          <w:rFonts w:hint="eastAsia" w:ascii="仿宋" w:hAnsi="仿宋" w:eastAsia="仿宋" w:cs="仿宋"/>
          <w:b/>
          <w:color w:val="auto"/>
          <w:sz w:val="24"/>
          <w:highlight w:val="none"/>
        </w:rPr>
        <w:t>2.12 不可抗力</w:t>
      </w:r>
      <w:bookmarkEnd w:id="142"/>
      <w:bookmarkEnd w:id="143"/>
      <w:bookmarkEnd w:id="144"/>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hd w:val="clear"/>
        <w:spacing w:line="560" w:lineRule="exact"/>
        <w:ind w:firstLine="482" w:firstLineChars="200"/>
        <w:outlineLvl w:val="0"/>
        <w:rPr>
          <w:rFonts w:hint="eastAsia" w:ascii="仿宋" w:hAnsi="仿宋" w:eastAsia="仿宋" w:cs="仿宋"/>
          <w:b/>
          <w:color w:val="auto"/>
          <w:sz w:val="24"/>
          <w:highlight w:val="none"/>
        </w:rPr>
      </w:pPr>
      <w:bookmarkStart w:id="145" w:name="_Toc6969"/>
      <w:bookmarkStart w:id="146" w:name="_Toc689"/>
      <w:bookmarkStart w:id="147" w:name="_Toc487900365"/>
      <w:bookmarkStart w:id="148" w:name="_Toc30676"/>
      <w:bookmarkStart w:id="149" w:name="_Toc279701255"/>
      <w:bookmarkStart w:id="150" w:name="_Toc259093684"/>
      <w:r>
        <w:rPr>
          <w:rFonts w:hint="eastAsia" w:ascii="仿宋" w:hAnsi="仿宋" w:eastAsia="仿宋" w:cs="仿宋"/>
          <w:b/>
          <w:color w:val="auto"/>
          <w:sz w:val="24"/>
          <w:highlight w:val="none"/>
        </w:rPr>
        <w:t>2.13 税费</w:t>
      </w:r>
      <w:bookmarkEnd w:id="145"/>
      <w:bookmarkEnd w:id="146"/>
      <w:bookmarkEnd w:id="147"/>
      <w:bookmarkEnd w:id="148"/>
      <w:bookmarkEnd w:id="149"/>
      <w:bookmarkEnd w:id="150"/>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hd w:val="clear"/>
        <w:spacing w:line="560" w:lineRule="exact"/>
        <w:ind w:firstLine="482" w:firstLineChars="200"/>
        <w:outlineLvl w:val="0"/>
        <w:rPr>
          <w:rFonts w:hint="eastAsia" w:ascii="仿宋" w:hAnsi="仿宋" w:eastAsia="仿宋" w:cs="仿宋"/>
          <w:b/>
          <w:color w:val="auto"/>
          <w:sz w:val="24"/>
          <w:highlight w:val="none"/>
        </w:rPr>
      </w:pPr>
      <w:bookmarkStart w:id="151" w:name="_Toc259093687"/>
      <w:bookmarkStart w:id="152" w:name="_Toc279701258"/>
      <w:bookmarkStart w:id="153" w:name="_Toc487900368"/>
      <w:bookmarkStart w:id="154" w:name="_Toc7102"/>
      <w:bookmarkStart w:id="155" w:name="_Toc16959"/>
      <w:bookmarkStart w:id="156" w:name="_Toc8298"/>
      <w:r>
        <w:rPr>
          <w:rFonts w:hint="eastAsia" w:ascii="仿宋" w:hAnsi="仿宋" w:eastAsia="仿宋" w:cs="仿宋"/>
          <w:b/>
          <w:color w:val="auto"/>
          <w:sz w:val="24"/>
          <w:highlight w:val="none"/>
        </w:rPr>
        <w:t>2.14乙方破产</w:t>
      </w:r>
      <w:bookmarkEnd w:id="151"/>
      <w:bookmarkEnd w:id="152"/>
      <w:bookmarkEnd w:id="153"/>
      <w:bookmarkEnd w:id="154"/>
      <w:bookmarkEnd w:id="155"/>
      <w:bookmarkEnd w:id="156"/>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560" w:lineRule="exact"/>
        <w:ind w:firstLine="482" w:firstLineChars="200"/>
        <w:outlineLvl w:val="0"/>
        <w:rPr>
          <w:rFonts w:hint="eastAsia" w:ascii="仿宋" w:hAnsi="仿宋" w:eastAsia="仿宋" w:cs="仿宋"/>
          <w:b/>
          <w:color w:val="auto"/>
          <w:sz w:val="24"/>
          <w:highlight w:val="none"/>
        </w:rPr>
      </w:pPr>
      <w:bookmarkStart w:id="157" w:name="_Toc29333"/>
      <w:bookmarkStart w:id="158" w:name="_Toc6134"/>
      <w:bookmarkStart w:id="159" w:name="_Toc15387"/>
      <w:r>
        <w:rPr>
          <w:rFonts w:hint="eastAsia" w:ascii="仿宋" w:hAnsi="仿宋" w:eastAsia="仿宋" w:cs="仿宋"/>
          <w:b/>
          <w:color w:val="auto"/>
          <w:sz w:val="24"/>
          <w:highlight w:val="none"/>
        </w:rPr>
        <w:t>2.15 合同中止、终止</w:t>
      </w:r>
      <w:bookmarkEnd w:id="157"/>
      <w:bookmarkEnd w:id="158"/>
      <w:bookmarkEnd w:id="159"/>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hd w:val="clear"/>
        <w:spacing w:line="560" w:lineRule="exact"/>
        <w:ind w:firstLine="482" w:firstLineChars="200"/>
        <w:outlineLvl w:val="0"/>
        <w:rPr>
          <w:rFonts w:hint="eastAsia" w:ascii="仿宋" w:hAnsi="仿宋" w:eastAsia="仿宋" w:cs="仿宋"/>
          <w:b/>
          <w:color w:val="auto"/>
          <w:sz w:val="24"/>
          <w:highlight w:val="none"/>
        </w:rPr>
      </w:pPr>
      <w:bookmarkStart w:id="160" w:name="_Toc1125"/>
      <w:bookmarkStart w:id="161" w:name="_Toc6596"/>
      <w:bookmarkStart w:id="162" w:name="_Toc14563"/>
      <w:r>
        <w:rPr>
          <w:rFonts w:hint="eastAsia" w:ascii="仿宋" w:hAnsi="仿宋" w:eastAsia="仿宋" w:cs="仿宋"/>
          <w:b/>
          <w:color w:val="auto"/>
          <w:sz w:val="24"/>
          <w:highlight w:val="none"/>
        </w:rPr>
        <w:t>2.16检验和验收</w:t>
      </w:r>
      <w:bookmarkEnd w:id="160"/>
      <w:bookmarkEnd w:id="161"/>
      <w:bookmarkEnd w:id="162"/>
    </w:p>
    <w:p>
      <w:pPr>
        <w:shd w:val="clea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shd w:val="clea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hd w:val="clea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2"/>
    <w:bookmarkEnd w:id="133"/>
    <w:bookmarkEnd w:id="134"/>
    <w:bookmarkEnd w:id="135"/>
    <w:p>
      <w:pPr>
        <w:shd w:val="clear"/>
        <w:spacing w:line="560" w:lineRule="exact"/>
        <w:ind w:firstLine="482" w:firstLineChars="200"/>
        <w:outlineLvl w:val="0"/>
        <w:rPr>
          <w:rFonts w:hint="eastAsia" w:ascii="仿宋" w:hAnsi="仿宋" w:eastAsia="仿宋" w:cs="仿宋"/>
          <w:b/>
          <w:color w:val="auto"/>
          <w:sz w:val="24"/>
          <w:highlight w:val="none"/>
        </w:rPr>
      </w:pPr>
      <w:bookmarkStart w:id="163" w:name="_Toc279701261"/>
      <w:bookmarkStart w:id="164" w:name="_Toc487900371"/>
      <w:bookmarkStart w:id="165" w:name="_Toc259093690"/>
      <w:bookmarkStart w:id="166" w:name="_Toc25182"/>
      <w:bookmarkStart w:id="167" w:name="_Toc11284"/>
      <w:bookmarkStart w:id="168" w:name="_Toc19604"/>
      <w:r>
        <w:rPr>
          <w:rFonts w:hint="eastAsia" w:ascii="仿宋" w:hAnsi="仿宋" w:eastAsia="仿宋" w:cs="仿宋"/>
          <w:b/>
          <w:color w:val="auto"/>
          <w:sz w:val="24"/>
          <w:highlight w:val="none"/>
        </w:rPr>
        <w:t>2.17 通知</w:t>
      </w:r>
      <w:bookmarkEnd w:id="163"/>
      <w:bookmarkEnd w:id="164"/>
      <w:bookmarkEnd w:id="165"/>
      <w:r>
        <w:rPr>
          <w:rFonts w:hint="eastAsia" w:ascii="仿宋" w:hAnsi="仿宋" w:eastAsia="仿宋" w:cs="仿宋"/>
          <w:b/>
          <w:color w:val="auto"/>
          <w:sz w:val="24"/>
          <w:highlight w:val="none"/>
        </w:rPr>
        <w:t>和送达</w:t>
      </w:r>
      <w:bookmarkEnd w:id="166"/>
      <w:bookmarkEnd w:id="167"/>
      <w:bookmarkEnd w:id="168"/>
    </w:p>
    <w:p>
      <w:pPr>
        <w:shd w:val="clear"/>
        <w:spacing w:line="560" w:lineRule="exact"/>
        <w:ind w:firstLine="480" w:firstLineChars="200"/>
        <w:rPr>
          <w:rFonts w:hint="eastAsia" w:ascii="仿宋" w:hAnsi="仿宋" w:eastAsia="仿宋" w:cs="仿宋"/>
          <w:color w:val="auto"/>
          <w:sz w:val="24"/>
          <w:highlight w:val="none"/>
        </w:rPr>
      </w:pPr>
      <w:bookmarkStart w:id="169" w:name="_Toc3135"/>
      <w:bookmarkStart w:id="170" w:name="_Toc6698"/>
      <w:bookmarkStart w:id="171" w:name="_Toc487900372"/>
      <w:bookmarkStart w:id="172" w:name="_Toc259093691"/>
      <w:bookmarkStart w:id="173" w:name="_Toc279701262"/>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9"/>
      <w:bookmarkEnd w:id="170"/>
    </w:p>
    <w:p>
      <w:pPr>
        <w:shd w:val="clear"/>
        <w:spacing w:line="560" w:lineRule="exact"/>
        <w:ind w:firstLine="480" w:firstLineChars="200"/>
        <w:rPr>
          <w:rFonts w:hint="eastAsia" w:ascii="仿宋" w:hAnsi="仿宋" w:eastAsia="仿宋" w:cs="仿宋"/>
          <w:color w:val="auto"/>
          <w:sz w:val="24"/>
          <w:highlight w:val="none"/>
        </w:rPr>
      </w:pPr>
      <w:bookmarkStart w:id="174" w:name="_Toc23128"/>
      <w:bookmarkStart w:id="175"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4"/>
      <w:bookmarkEnd w:id="175"/>
    </w:p>
    <w:p>
      <w:pPr>
        <w:shd w:val="clear"/>
        <w:spacing w:line="560" w:lineRule="exact"/>
        <w:ind w:firstLine="482" w:firstLineChars="200"/>
        <w:outlineLvl w:val="0"/>
        <w:rPr>
          <w:rFonts w:hint="eastAsia" w:ascii="仿宋" w:hAnsi="仿宋" w:eastAsia="仿宋" w:cs="仿宋"/>
          <w:b/>
          <w:color w:val="auto"/>
          <w:sz w:val="24"/>
          <w:highlight w:val="none"/>
        </w:rPr>
      </w:pPr>
      <w:bookmarkStart w:id="176" w:name="_Toc4355"/>
      <w:bookmarkStart w:id="177" w:name="_Toc18540"/>
      <w:bookmarkStart w:id="178" w:name="_Toc30599"/>
      <w:r>
        <w:rPr>
          <w:rFonts w:hint="eastAsia" w:ascii="仿宋" w:hAnsi="仿宋" w:eastAsia="仿宋" w:cs="仿宋"/>
          <w:b/>
          <w:color w:val="auto"/>
          <w:sz w:val="24"/>
          <w:highlight w:val="none"/>
        </w:rPr>
        <w:t>2.18 计量单位</w:t>
      </w:r>
      <w:bookmarkEnd w:id="171"/>
      <w:bookmarkEnd w:id="172"/>
      <w:bookmarkEnd w:id="173"/>
      <w:bookmarkEnd w:id="176"/>
      <w:bookmarkEnd w:id="177"/>
      <w:bookmarkEnd w:id="178"/>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hd w:val="clear"/>
        <w:spacing w:line="560" w:lineRule="exact"/>
        <w:ind w:firstLine="482" w:firstLineChars="200"/>
        <w:outlineLvl w:val="0"/>
        <w:rPr>
          <w:rFonts w:hint="eastAsia" w:ascii="仿宋" w:hAnsi="仿宋" w:eastAsia="仿宋" w:cs="仿宋"/>
          <w:b/>
          <w:color w:val="auto"/>
          <w:sz w:val="24"/>
          <w:highlight w:val="none"/>
        </w:rPr>
      </w:pPr>
      <w:bookmarkStart w:id="179" w:name="_Toc10330"/>
      <w:bookmarkStart w:id="180" w:name="_Toc279701263"/>
      <w:bookmarkStart w:id="181" w:name="_Toc259093692"/>
      <w:bookmarkStart w:id="182" w:name="_Toc18567"/>
      <w:bookmarkStart w:id="183" w:name="_Toc487900373"/>
      <w:bookmarkStart w:id="184" w:name="_Toc12773"/>
      <w:r>
        <w:rPr>
          <w:rFonts w:hint="eastAsia" w:ascii="仿宋" w:hAnsi="仿宋" w:eastAsia="仿宋" w:cs="仿宋"/>
          <w:b/>
          <w:color w:val="auto"/>
          <w:sz w:val="24"/>
          <w:highlight w:val="none"/>
        </w:rPr>
        <w:t>2.19 合同使用的文字和适用的法律</w:t>
      </w:r>
      <w:bookmarkEnd w:id="179"/>
      <w:bookmarkEnd w:id="180"/>
      <w:bookmarkEnd w:id="181"/>
      <w:bookmarkEnd w:id="182"/>
      <w:bookmarkEnd w:id="183"/>
      <w:bookmarkEnd w:id="184"/>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hd w:val="clear"/>
        <w:spacing w:line="560" w:lineRule="exact"/>
        <w:ind w:firstLine="482" w:firstLineChars="200"/>
        <w:outlineLvl w:val="0"/>
        <w:rPr>
          <w:rFonts w:hint="eastAsia" w:ascii="仿宋" w:hAnsi="仿宋" w:eastAsia="仿宋" w:cs="仿宋"/>
          <w:b/>
          <w:color w:val="auto"/>
          <w:sz w:val="24"/>
          <w:highlight w:val="none"/>
        </w:rPr>
      </w:pPr>
      <w:bookmarkStart w:id="185" w:name="_Toc6885"/>
      <w:bookmarkStart w:id="186" w:name="_Toc19890"/>
      <w:bookmarkStart w:id="187" w:name="_Toc14001"/>
      <w:r>
        <w:rPr>
          <w:rFonts w:hint="eastAsia" w:ascii="仿宋" w:hAnsi="仿宋" w:eastAsia="仿宋" w:cs="仿宋"/>
          <w:b/>
          <w:color w:val="auto"/>
          <w:sz w:val="24"/>
          <w:highlight w:val="none"/>
        </w:rPr>
        <w:t>2.20 合同份数</w:t>
      </w:r>
      <w:bookmarkEnd w:id="185"/>
      <w:bookmarkEnd w:id="186"/>
      <w:bookmarkEnd w:id="187"/>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hd w:val="clea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第三部分合同专用条款</w:t>
      </w:r>
    </w:p>
    <w:p>
      <w:pPr>
        <w:shd w:val="clea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pPr>
              <w:shd w:val="clear"/>
              <w:autoSpaceDE w:val="0"/>
              <w:autoSpaceDN w:val="0"/>
              <w:spacing w:line="440" w:lineRule="exact"/>
              <w:jc w:val="center"/>
              <w:textAlignment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条款号</w:t>
            </w:r>
          </w:p>
        </w:tc>
        <w:tc>
          <w:tcPr>
            <w:tcW w:w="7993" w:type="dxa"/>
            <w:vAlign w:val="center"/>
          </w:tcPr>
          <w:p>
            <w:pPr>
              <w:shd w:val="clear"/>
              <w:autoSpaceDE w:val="0"/>
              <w:autoSpaceDN w:val="0"/>
              <w:spacing w:line="440" w:lineRule="exact"/>
              <w:jc w:val="center"/>
              <w:textAlignment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autoSpaceDE w:val="0"/>
              <w:autoSpaceDN w:val="0"/>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2.8</w:t>
            </w:r>
          </w:p>
        </w:tc>
        <w:tc>
          <w:tcPr>
            <w:tcW w:w="7993" w:type="dxa"/>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pPr>
              <w:shd w:val="clea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7993" w:type="dxa"/>
            <w:vAlign w:val="center"/>
          </w:tcPr>
          <w:p>
            <w:pPr>
              <w:keepNext/>
              <w:keepLines/>
              <w:shd w:val="clear"/>
              <w:tabs>
                <w:tab w:val="left" w:pos="900"/>
              </w:tabs>
              <w:spacing w:line="440" w:lineRule="exact"/>
              <w:contextualSpacing/>
              <w:jc w:val="center"/>
              <w:textAlignment w:val="center"/>
              <w:rPr>
                <w:rFonts w:hint="eastAsia" w:ascii="仿宋" w:hAnsi="仿宋" w:eastAsia="仿宋" w:cs="仿宋"/>
                <w:color w:val="auto"/>
                <w:sz w:val="24"/>
                <w:highlight w:val="none"/>
              </w:rPr>
            </w:pPr>
          </w:p>
        </w:tc>
      </w:tr>
    </w:tbl>
    <w:p>
      <w:pPr>
        <w:shd w:val="clear"/>
        <w:spacing w:line="440" w:lineRule="exact"/>
        <w:contextualSpacing/>
        <w:rPr>
          <w:rFonts w:hint="eastAsia" w:ascii="仿宋" w:hAnsi="仿宋" w:eastAsia="仿宋" w:cs="仿宋"/>
          <w:color w:val="auto"/>
          <w:highlight w:val="none"/>
        </w:rPr>
      </w:pPr>
    </w:p>
    <w:p>
      <w:pPr>
        <w:shd w:val="clear"/>
        <w:spacing w:line="360" w:lineRule="auto"/>
        <w:jc w:val="center"/>
        <w:rPr>
          <w:rFonts w:hint="eastAsia" w:ascii="仿宋" w:hAnsi="仿宋" w:eastAsia="仿宋" w:cs="仿宋"/>
          <w:b/>
          <w:color w:val="auto"/>
          <w:sz w:val="36"/>
          <w:szCs w:val="36"/>
          <w:highlight w:val="none"/>
        </w:rPr>
      </w:pPr>
    </w:p>
    <w:p>
      <w:pPr>
        <w:pStyle w:val="2"/>
        <w:shd w:val="clear"/>
        <w:rPr>
          <w:rFonts w:hint="eastAsia" w:ascii="仿宋" w:hAnsi="仿宋" w:eastAsia="仿宋" w:cs="仿宋"/>
          <w:color w:val="auto"/>
          <w:highlight w:val="none"/>
        </w:rPr>
      </w:pPr>
    </w:p>
    <w:p>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hd w:val="clea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hd w:val="clea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hd w:val="clea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hd w:val="clea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hd w:val="clea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shd w:val="clear"/>
        <w:spacing w:line="440" w:lineRule="exact"/>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4"/>
        <w:tblW w:w="9395" w:type="dxa"/>
        <w:jc w:val="center"/>
        <w:tblLayout w:type="fixed"/>
        <w:tblCellMar>
          <w:top w:w="0" w:type="dxa"/>
          <w:left w:w="108" w:type="dxa"/>
          <w:bottom w:w="0" w:type="dxa"/>
          <w:right w:w="108" w:type="dxa"/>
        </w:tblCellMar>
      </w:tblPr>
      <w:tblGrid>
        <w:gridCol w:w="737"/>
        <w:gridCol w:w="1146"/>
        <w:gridCol w:w="6655"/>
        <w:gridCol w:w="857"/>
      </w:tblGrid>
      <w:tr>
        <w:tblPrEx>
          <w:tblCellMar>
            <w:top w:w="0" w:type="dxa"/>
            <w:left w:w="108" w:type="dxa"/>
            <w:bottom w:w="0" w:type="dxa"/>
            <w:right w:w="108" w:type="dxa"/>
          </w:tblCellMar>
        </w:tblPrEx>
        <w:trPr>
          <w:trHeight w:val="70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widowControl/>
              <w:shd w:val="clear"/>
              <w:autoSpaceDE w:val="0"/>
              <w:autoSpaceDN w:val="0"/>
              <w:spacing w:line="40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146" w:type="dxa"/>
            <w:tcBorders>
              <w:top w:val="single" w:color="auto" w:sz="4" w:space="0"/>
              <w:left w:val="single" w:color="auto" w:sz="4" w:space="0"/>
              <w:bottom w:val="single" w:color="auto" w:sz="4" w:space="0"/>
              <w:right w:val="single" w:color="auto" w:sz="4" w:space="0"/>
            </w:tcBorders>
            <w:vAlign w:val="center"/>
          </w:tcPr>
          <w:p>
            <w:pPr>
              <w:widowControl/>
              <w:shd w:val="clear"/>
              <w:autoSpaceDE w:val="0"/>
              <w:autoSpaceDN w:val="0"/>
              <w:spacing w:line="40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评分项</w:t>
            </w:r>
          </w:p>
        </w:tc>
        <w:tc>
          <w:tcPr>
            <w:tcW w:w="6655" w:type="dxa"/>
            <w:tcBorders>
              <w:top w:val="single" w:color="auto" w:sz="4" w:space="0"/>
              <w:left w:val="single" w:color="auto" w:sz="4" w:space="0"/>
              <w:bottom w:val="single" w:color="auto" w:sz="4" w:space="0"/>
              <w:right w:val="single" w:color="auto" w:sz="4" w:space="0"/>
            </w:tcBorders>
            <w:vAlign w:val="center"/>
          </w:tcPr>
          <w:p>
            <w:pPr>
              <w:widowControl/>
              <w:shd w:val="clear"/>
              <w:autoSpaceDE w:val="0"/>
              <w:autoSpaceDN w:val="0"/>
              <w:spacing w:line="40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评审依据及标准</w:t>
            </w:r>
          </w:p>
        </w:tc>
        <w:tc>
          <w:tcPr>
            <w:tcW w:w="857" w:type="dxa"/>
            <w:tcBorders>
              <w:top w:val="single" w:color="auto" w:sz="4" w:space="0"/>
              <w:left w:val="single" w:color="auto" w:sz="4" w:space="0"/>
              <w:bottom w:val="single" w:color="auto" w:sz="4" w:space="0"/>
              <w:right w:val="single" w:color="auto" w:sz="4" w:space="0"/>
            </w:tcBorders>
            <w:vAlign w:val="center"/>
          </w:tcPr>
          <w:p>
            <w:pPr>
              <w:widowControl/>
              <w:shd w:val="clear"/>
              <w:autoSpaceDE w:val="0"/>
              <w:autoSpaceDN w:val="0"/>
              <w:spacing w:line="400" w:lineRule="exac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tblPrEx>
          <w:tblCellMar>
            <w:top w:w="0" w:type="dxa"/>
            <w:left w:w="108" w:type="dxa"/>
            <w:bottom w:w="0" w:type="dxa"/>
            <w:right w:w="108" w:type="dxa"/>
          </w:tblCellMar>
        </w:tblPrEx>
        <w:trPr>
          <w:trHeight w:val="98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46" w:type="dxa"/>
            <w:tcBorders>
              <w:top w:val="single" w:color="auto" w:sz="4" w:space="0"/>
              <w:left w:val="single" w:color="auto" w:sz="4" w:space="0"/>
              <w:bottom w:val="single" w:color="auto" w:sz="4" w:space="0"/>
              <w:right w:val="single" w:color="auto" w:sz="4" w:space="0"/>
            </w:tcBorders>
            <w:vAlign w:val="center"/>
          </w:tcPr>
          <w:p>
            <w:pPr>
              <w:shd w:val="clear" w:color="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企业资信</w:t>
            </w:r>
          </w:p>
          <w:p>
            <w:pPr>
              <w:shd w:val="clear" w:color="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bidi="ar-SA"/>
              </w:rPr>
              <w:t>（6分）</w:t>
            </w: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1.投标</w:t>
            </w:r>
            <w:r>
              <w:rPr>
                <w:rFonts w:hint="eastAsia" w:ascii="仿宋" w:hAnsi="仿宋" w:eastAsia="仿宋" w:cs="仿宋"/>
                <w:color w:val="auto"/>
                <w:kern w:val="0"/>
                <w:sz w:val="24"/>
                <w:szCs w:val="24"/>
                <w:highlight w:val="none"/>
                <w:lang w:val="en-US" w:eastAsia="zh-CN" w:bidi="ar-SA"/>
              </w:rPr>
              <w:t>产品制造商</w:t>
            </w:r>
            <w:r>
              <w:rPr>
                <w:rFonts w:hint="eastAsia" w:ascii="仿宋" w:hAnsi="仿宋" w:eastAsia="仿宋" w:cs="仿宋"/>
                <w:color w:val="auto"/>
                <w:kern w:val="0"/>
                <w:sz w:val="24"/>
                <w:szCs w:val="24"/>
                <w:highlight w:val="none"/>
                <w:lang w:bidi="ar-SA"/>
              </w:rPr>
              <w:t>具备实验室并通过CNAS认证的得1分</w:t>
            </w:r>
            <w:r>
              <w:rPr>
                <w:rFonts w:hint="eastAsia" w:ascii="仿宋" w:hAnsi="仿宋" w:eastAsia="仿宋" w:cs="仿宋"/>
                <w:color w:val="auto"/>
                <w:kern w:val="0"/>
                <w:sz w:val="24"/>
                <w:szCs w:val="24"/>
                <w:highlight w:val="none"/>
                <w:lang w:eastAsia="zh-CN" w:bidi="ar-SA"/>
              </w:rPr>
              <w:t>，</w:t>
            </w:r>
            <w:r>
              <w:rPr>
                <w:rFonts w:hint="eastAsia" w:ascii="仿宋" w:hAnsi="仿宋" w:eastAsia="仿宋" w:cs="仿宋"/>
                <w:color w:val="auto"/>
                <w:kern w:val="0"/>
                <w:sz w:val="24"/>
                <w:szCs w:val="24"/>
                <w:highlight w:val="none"/>
                <w:lang w:bidi="ar-SA"/>
              </w:rPr>
              <w:t>没有不得分。（如投标产品为不同制造商制造，需同时拥有，否则也不得分）</w:t>
            </w:r>
          </w:p>
          <w:p>
            <w:pPr>
              <w:pStyle w:val="25"/>
              <w:widowControl/>
              <w:shd w:val="clear" w:color="auto"/>
              <w:spacing w:line="240" w:lineRule="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2.投标</w:t>
            </w:r>
            <w:r>
              <w:rPr>
                <w:rFonts w:hint="eastAsia" w:ascii="仿宋" w:hAnsi="仿宋" w:eastAsia="仿宋" w:cs="仿宋"/>
                <w:color w:val="auto"/>
                <w:kern w:val="0"/>
                <w:sz w:val="24"/>
                <w:szCs w:val="24"/>
                <w:highlight w:val="none"/>
                <w:lang w:val="en-US" w:eastAsia="zh-CN" w:bidi="ar-SA"/>
              </w:rPr>
              <w:t>产品制造商</w:t>
            </w:r>
            <w:r>
              <w:rPr>
                <w:rFonts w:hint="eastAsia" w:ascii="仿宋" w:hAnsi="仿宋" w:eastAsia="仿宋" w:cs="仿宋"/>
                <w:color w:val="auto"/>
                <w:kern w:val="0"/>
                <w:sz w:val="24"/>
                <w:szCs w:val="24"/>
                <w:highlight w:val="none"/>
                <w:lang w:bidi="ar-SA"/>
              </w:rPr>
              <w:t>具有工信部颁布的绿色工厂称号的得1分，没有不得分。（如投标产品为不同制造商制造，需同时拥有，否则也不得分）</w:t>
            </w:r>
          </w:p>
          <w:p>
            <w:pPr>
              <w:pStyle w:val="25"/>
              <w:widowControl/>
              <w:shd w:val="clear" w:color="auto"/>
              <w:spacing w:line="240" w:lineRule="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bidi="ar-SA"/>
              </w:rPr>
              <w:t>3.根据</w:t>
            </w:r>
            <w:r>
              <w:rPr>
                <w:rFonts w:hint="eastAsia" w:ascii="仿宋" w:hAnsi="仿宋" w:eastAsia="仿宋" w:cs="仿宋"/>
                <w:color w:val="auto"/>
                <w:kern w:val="0"/>
                <w:sz w:val="24"/>
                <w:szCs w:val="24"/>
                <w:highlight w:val="none"/>
                <w:lang w:val="en-US" w:eastAsia="zh-CN" w:bidi="ar-SA"/>
              </w:rPr>
              <w:t>投标产品制造商</w:t>
            </w:r>
            <w:r>
              <w:rPr>
                <w:rFonts w:hint="eastAsia" w:ascii="仿宋" w:hAnsi="仿宋" w:eastAsia="仿宋" w:cs="仿宋"/>
                <w:color w:val="auto"/>
                <w:kern w:val="0"/>
                <w:sz w:val="24"/>
                <w:szCs w:val="24"/>
                <w:highlight w:val="none"/>
                <w:lang w:bidi="ar-SA"/>
              </w:rPr>
              <w:t>在</w:t>
            </w:r>
            <w:r>
              <w:rPr>
                <w:rFonts w:hint="eastAsia" w:ascii="仿宋" w:hAnsi="仿宋" w:eastAsia="仿宋" w:cs="仿宋"/>
                <w:color w:val="auto"/>
                <w:kern w:val="0"/>
                <w:sz w:val="24"/>
                <w:szCs w:val="24"/>
                <w:highlight w:val="none"/>
                <w:lang w:eastAsia="zh-CN" w:bidi="ar-SA"/>
              </w:rPr>
              <w:t>客车市场占有率、品牌、信誉、企业获奖、认证证书等情况由评委综合打分，</w:t>
            </w:r>
            <w:r>
              <w:rPr>
                <w:rFonts w:hint="eastAsia" w:ascii="仿宋" w:hAnsi="仿宋" w:eastAsia="仿宋" w:cs="仿宋"/>
                <w:color w:val="auto"/>
                <w:kern w:val="0"/>
                <w:sz w:val="24"/>
                <w:szCs w:val="24"/>
                <w:highlight w:val="none"/>
                <w:lang w:val="en-US" w:eastAsia="zh-CN" w:bidi="ar-SA"/>
              </w:rPr>
              <w:t>0-4分</w:t>
            </w:r>
          </w:p>
          <w:p>
            <w:pPr>
              <w:pStyle w:val="25"/>
              <w:widowControl/>
              <w:shd w:val="clear" w:color="auto"/>
              <w:spacing w:line="240" w:lineRule="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w:t>
            </w:r>
            <w:r>
              <w:rPr>
                <w:rFonts w:hint="eastAsia" w:ascii="仿宋" w:hAnsi="仿宋" w:eastAsia="仿宋" w:cs="仿宋"/>
                <w:color w:val="auto"/>
                <w:kern w:val="0"/>
                <w:sz w:val="24"/>
                <w:szCs w:val="24"/>
                <w:highlight w:val="none"/>
                <w:lang w:eastAsia="zh-CN" w:bidi="ar-SA"/>
              </w:rPr>
              <w:t>客车市场占有率</w:t>
            </w:r>
            <w:r>
              <w:rPr>
                <w:rFonts w:hint="eastAsia" w:ascii="仿宋" w:hAnsi="仿宋" w:eastAsia="仿宋" w:cs="仿宋"/>
                <w:color w:val="auto"/>
                <w:kern w:val="0"/>
                <w:sz w:val="24"/>
                <w:szCs w:val="24"/>
                <w:highlight w:val="none"/>
                <w:lang w:bidi="ar-SA"/>
              </w:rPr>
              <w:t>需提供中国汽车工业协会出具的</w:t>
            </w:r>
            <w:r>
              <w:rPr>
                <w:rFonts w:hint="eastAsia" w:ascii="仿宋" w:hAnsi="仿宋" w:eastAsia="仿宋" w:cs="仿宋"/>
                <w:color w:val="auto"/>
                <w:kern w:val="0"/>
                <w:sz w:val="24"/>
                <w:szCs w:val="24"/>
                <w:highlight w:val="none"/>
                <w:lang w:val="en-US" w:eastAsia="zh-CN" w:bidi="ar-SA"/>
              </w:rPr>
              <w:t>2023年度</w:t>
            </w:r>
            <w:r>
              <w:rPr>
                <w:rFonts w:hint="eastAsia" w:ascii="仿宋" w:hAnsi="仿宋" w:eastAsia="仿宋" w:cs="仿宋"/>
                <w:color w:val="auto"/>
                <w:kern w:val="0"/>
                <w:sz w:val="24"/>
                <w:szCs w:val="24"/>
                <w:highlight w:val="none"/>
                <w:lang w:bidi="ar-SA"/>
              </w:rPr>
              <w:t>相关证明，</w:t>
            </w:r>
            <w:r>
              <w:rPr>
                <w:rFonts w:hint="eastAsia" w:ascii="仿宋" w:hAnsi="仿宋" w:eastAsia="仿宋" w:cs="仿宋"/>
                <w:color w:val="auto"/>
                <w:kern w:val="0"/>
                <w:sz w:val="24"/>
                <w:szCs w:val="24"/>
                <w:highlight w:val="none"/>
                <w:lang w:eastAsia="zh-CN" w:bidi="ar-SA"/>
              </w:rPr>
              <w:t>以上证书、证明材料由投标人根据需要提供</w:t>
            </w:r>
            <w:r>
              <w:rPr>
                <w:rFonts w:hint="eastAsia" w:ascii="仿宋" w:hAnsi="仿宋" w:eastAsia="仿宋" w:cs="仿宋"/>
                <w:color w:val="auto"/>
                <w:kern w:val="0"/>
                <w:sz w:val="24"/>
                <w:szCs w:val="24"/>
                <w:highlight w:val="none"/>
                <w:lang w:bidi="ar-SA"/>
              </w:rPr>
              <w:t>）</w:t>
            </w:r>
          </w:p>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注：以上项目投标人须提供相关证明材料，否则不得分，复印件加盖公章。</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tblPrEx>
          <w:tblCellMar>
            <w:top w:w="0" w:type="dxa"/>
            <w:left w:w="108" w:type="dxa"/>
            <w:bottom w:w="0" w:type="dxa"/>
            <w:right w:w="108" w:type="dxa"/>
          </w:tblCellMar>
        </w:tblPrEx>
        <w:trPr>
          <w:trHeight w:val="984" w:hRule="atLeast"/>
          <w:jc w:val="center"/>
        </w:trPr>
        <w:tc>
          <w:tcPr>
            <w:tcW w:w="737" w:type="dxa"/>
            <w:vMerge w:val="restart"/>
            <w:tcBorders>
              <w:top w:val="single" w:color="auto" w:sz="4" w:space="0"/>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46" w:type="dxa"/>
            <w:vMerge w:val="restart"/>
            <w:tcBorders>
              <w:top w:val="single" w:color="auto" w:sz="4" w:space="0"/>
              <w:left w:val="single" w:color="auto" w:sz="4" w:space="0"/>
              <w:right w:val="single" w:color="auto" w:sz="4" w:space="0"/>
            </w:tcBorders>
            <w:vAlign w:val="center"/>
          </w:tcPr>
          <w:p>
            <w:pPr>
              <w:shd w:val="clear" w:color="auto"/>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招标文件响应</w:t>
            </w:r>
          </w:p>
          <w:p>
            <w:pPr>
              <w:shd w:val="clear" w:color="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SA"/>
              </w:rPr>
              <w:t>（41分）</w:t>
            </w: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完全满足招标文件要求的24分；打▲指标出现负偏离每项扣4分；其他一般性指标负偏离扣2分，扣完为止；打★指标负偏离的作无效投标处理。</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24</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优于技术配置要求的（如节能环保、噪音处理、车内人性化设计、有新科技产品配置、系统技术优化等）根据正偏离程度，在基本分基础上每一项加0.5分（本项最高得4分）</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1.投标人有明确的质量目标、质量保证措施、按期供货保证措施</w:t>
            </w:r>
            <w:r>
              <w:rPr>
                <w:rFonts w:hint="eastAsia" w:ascii="仿宋" w:hAnsi="仿宋" w:eastAsia="仿宋" w:cs="仿宋"/>
                <w:color w:val="auto"/>
                <w:kern w:val="0"/>
                <w:sz w:val="24"/>
                <w:szCs w:val="24"/>
                <w:highlight w:val="none"/>
                <w:lang w:eastAsia="zh-CN" w:bidi="ar-SA"/>
              </w:rPr>
              <w:t>、增值服务</w:t>
            </w:r>
            <w:r>
              <w:rPr>
                <w:rFonts w:hint="eastAsia" w:ascii="仿宋" w:hAnsi="仿宋" w:eastAsia="仿宋" w:cs="仿宋"/>
                <w:color w:val="auto"/>
                <w:kern w:val="0"/>
                <w:sz w:val="24"/>
                <w:szCs w:val="24"/>
                <w:highlight w:val="none"/>
                <w:lang w:bidi="ar-SA"/>
              </w:rPr>
              <w:t>等方案由评委</w:t>
            </w:r>
            <w:r>
              <w:rPr>
                <w:rFonts w:hint="eastAsia" w:ascii="仿宋" w:hAnsi="仿宋" w:eastAsia="仿宋" w:cs="仿宋"/>
                <w:color w:val="auto"/>
                <w:sz w:val="24"/>
                <w:szCs w:val="24"/>
                <w:highlight w:val="none"/>
                <w:lang w:val="en-US" w:eastAsia="zh-CN" w:bidi="ar-SA"/>
              </w:rPr>
              <w:t>综合打分</w:t>
            </w:r>
            <w:r>
              <w:rPr>
                <w:rFonts w:hint="eastAsia" w:ascii="仿宋" w:hAnsi="仿宋" w:eastAsia="仿宋" w:cs="仿宋"/>
                <w:color w:val="auto"/>
                <w:kern w:val="0"/>
                <w:sz w:val="24"/>
                <w:szCs w:val="24"/>
                <w:highlight w:val="none"/>
                <w:lang w:eastAsia="zh-CN" w:bidi="ar-SA"/>
              </w:rPr>
              <w:t>，</w:t>
            </w:r>
            <w:r>
              <w:rPr>
                <w:rFonts w:hint="eastAsia" w:ascii="仿宋" w:hAnsi="仿宋" w:eastAsia="仿宋" w:cs="仿宋"/>
                <w:color w:val="auto"/>
                <w:kern w:val="0"/>
                <w:sz w:val="24"/>
                <w:szCs w:val="24"/>
                <w:highlight w:val="none"/>
                <w:lang w:val="en-US" w:eastAsia="zh-CN" w:bidi="ar-SA"/>
              </w:rPr>
              <w:t>0-3</w:t>
            </w:r>
            <w:r>
              <w:rPr>
                <w:rFonts w:hint="eastAsia" w:ascii="仿宋" w:hAnsi="仿宋" w:eastAsia="仿宋" w:cs="仿宋"/>
                <w:color w:val="auto"/>
                <w:kern w:val="0"/>
                <w:sz w:val="24"/>
                <w:szCs w:val="24"/>
                <w:highlight w:val="none"/>
                <w:lang w:bidi="ar-SA"/>
              </w:rPr>
              <w:t>分。</w:t>
            </w:r>
          </w:p>
          <w:p>
            <w:pPr>
              <w:pStyle w:val="25"/>
              <w:widowControl/>
              <w:shd w:val="clear" w:color="auto"/>
              <w:spacing w:line="240" w:lineRule="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2.按照投标文件内容，由评委对投标车型底盘、电器线路、车内设备等布置情况、维修便利性进行评判，</w:t>
            </w:r>
            <w:r>
              <w:rPr>
                <w:rFonts w:hint="eastAsia" w:ascii="仿宋" w:hAnsi="仿宋" w:eastAsia="仿宋" w:cs="仿宋"/>
                <w:color w:val="auto"/>
                <w:kern w:val="0"/>
                <w:sz w:val="24"/>
                <w:szCs w:val="24"/>
                <w:highlight w:val="none"/>
                <w:lang w:val="en-US" w:eastAsia="zh-CN" w:bidi="ar-SA"/>
              </w:rPr>
              <w:t>0-3分</w:t>
            </w:r>
            <w:r>
              <w:rPr>
                <w:rFonts w:hint="eastAsia" w:ascii="仿宋" w:hAnsi="仿宋" w:eastAsia="仿宋" w:cs="仿宋"/>
                <w:color w:val="auto"/>
                <w:kern w:val="0"/>
                <w:sz w:val="24"/>
                <w:szCs w:val="24"/>
                <w:highlight w:val="none"/>
                <w:lang w:bidi="ar-SA"/>
              </w:rPr>
              <w:t>。</w:t>
            </w:r>
          </w:p>
          <w:p>
            <w:pPr>
              <w:pStyle w:val="25"/>
              <w:widowControl/>
              <w:shd w:val="clear" w:color="auto"/>
              <w:spacing w:line="240" w:lineRule="auto"/>
              <w:rPr>
                <w:rFonts w:hint="eastAsia" w:ascii="仿宋" w:hAnsi="仿宋" w:eastAsia="仿宋" w:cs="仿宋"/>
                <w:color w:val="auto"/>
                <w:kern w:val="0"/>
                <w:sz w:val="24"/>
                <w:szCs w:val="24"/>
                <w:highlight w:val="none"/>
                <w:lang w:bidi="ar-SA"/>
              </w:rPr>
            </w:pPr>
            <w:r>
              <w:rPr>
                <w:rFonts w:hint="eastAsia" w:ascii="仿宋" w:hAnsi="仿宋" w:eastAsia="仿宋" w:cs="仿宋"/>
                <w:color w:val="auto"/>
                <w:kern w:val="0"/>
                <w:sz w:val="24"/>
                <w:szCs w:val="24"/>
                <w:highlight w:val="none"/>
                <w:lang w:bidi="ar-SA"/>
              </w:rPr>
              <w:t>3.评委对投标车型整车设计、车辆设施设备先进性和安全防护性能高低进行</w:t>
            </w:r>
            <w:r>
              <w:rPr>
                <w:rFonts w:hint="eastAsia" w:ascii="仿宋" w:hAnsi="仿宋" w:eastAsia="仿宋" w:cs="仿宋"/>
                <w:color w:val="auto"/>
                <w:sz w:val="24"/>
                <w:szCs w:val="24"/>
                <w:highlight w:val="none"/>
                <w:lang w:val="en-US" w:eastAsia="zh-CN" w:bidi="ar-SA"/>
              </w:rPr>
              <w:t>综合打分</w:t>
            </w:r>
            <w:r>
              <w:rPr>
                <w:rFonts w:hint="eastAsia" w:ascii="仿宋" w:hAnsi="仿宋" w:eastAsia="仿宋" w:cs="仿宋"/>
                <w:color w:val="auto"/>
                <w:kern w:val="0"/>
                <w:sz w:val="24"/>
                <w:szCs w:val="24"/>
                <w:highlight w:val="none"/>
                <w:lang w:bidi="ar-SA"/>
              </w:rPr>
              <w:t>，</w:t>
            </w:r>
            <w:r>
              <w:rPr>
                <w:rFonts w:hint="eastAsia" w:ascii="仿宋" w:hAnsi="仿宋" w:eastAsia="仿宋" w:cs="仿宋"/>
                <w:color w:val="auto"/>
                <w:kern w:val="0"/>
                <w:sz w:val="24"/>
                <w:szCs w:val="24"/>
                <w:highlight w:val="none"/>
                <w:lang w:val="en-US" w:eastAsia="zh-CN" w:bidi="ar-SA"/>
              </w:rPr>
              <w:t>0-3分</w:t>
            </w:r>
            <w:r>
              <w:rPr>
                <w:rFonts w:hint="eastAsia" w:ascii="仿宋" w:hAnsi="仿宋" w:eastAsia="仿宋" w:cs="仿宋"/>
                <w:color w:val="auto"/>
                <w:kern w:val="0"/>
                <w:sz w:val="24"/>
                <w:szCs w:val="24"/>
                <w:highlight w:val="none"/>
                <w:lang w:bidi="ar-SA"/>
              </w:rPr>
              <w:t>。</w:t>
            </w:r>
          </w:p>
          <w:p>
            <w:pPr>
              <w:pStyle w:val="25"/>
              <w:widowControl/>
              <w:shd w:val="clear" w:color="auto"/>
              <w:spacing w:line="240" w:lineRule="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4.</w:t>
            </w:r>
            <w:r>
              <w:rPr>
                <w:rFonts w:hint="eastAsia" w:ascii="仿宋" w:hAnsi="仿宋" w:eastAsia="仿宋" w:cs="仿宋"/>
                <w:color w:val="auto"/>
                <w:kern w:val="0"/>
                <w:sz w:val="24"/>
                <w:szCs w:val="24"/>
                <w:highlight w:val="none"/>
                <w:lang w:bidi="ar-SA"/>
              </w:rPr>
              <w:t>评委</w:t>
            </w:r>
            <w:r>
              <w:rPr>
                <w:rFonts w:hint="eastAsia" w:ascii="仿宋" w:hAnsi="仿宋" w:eastAsia="仿宋" w:cs="仿宋"/>
                <w:color w:val="auto"/>
                <w:sz w:val="24"/>
                <w:szCs w:val="24"/>
                <w:highlight w:val="none"/>
                <w:lang w:bidi="ar-SA"/>
              </w:rPr>
              <w:t>对投标人提供所投车型的车辆外观与内饰、车内空间</w:t>
            </w:r>
            <w:r>
              <w:rPr>
                <w:rFonts w:hint="eastAsia" w:ascii="仿宋" w:hAnsi="仿宋" w:eastAsia="仿宋" w:cs="仿宋"/>
                <w:color w:val="auto"/>
                <w:sz w:val="24"/>
                <w:szCs w:val="24"/>
                <w:highlight w:val="none"/>
                <w:lang w:eastAsia="zh-CN" w:bidi="ar-SA"/>
              </w:rPr>
              <w:t>、车型与公交运营的适应性等</w:t>
            </w:r>
            <w:r>
              <w:rPr>
                <w:rFonts w:hint="eastAsia" w:ascii="仿宋" w:hAnsi="仿宋" w:eastAsia="仿宋" w:cs="仿宋"/>
                <w:color w:val="auto"/>
                <w:sz w:val="24"/>
                <w:szCs w:val="24"/>
                <w:highlight w:val="none"/>
                <w:lang w:bidi="ar-SA"/>
              </w:rPr>
              <w:t>进行</w:t>
            </w:r>
            <w:r>
              <w:rPr>
                <w:rFonts w:hint="eastAsia" w:ascii="仿宋" w:hAnsi="仿宋" w:eastAsia="仿宋" w:cs="仿宋"/>
                <w:color w:val="auto"/>
                <w:sz w:val="24"/>
                <w:szCs w:val="24"/>
                <w:highlight w:val="none"/>
                <w:lang w:val="en-US" w:eastAsia="zh-CN" w:bidi="ar-SA"/>
              </w:rPr>
              <w:t>综合打分</w:t>
            </w:r>
            <w:r>
              <w:rPr>
                <w:rFonts w:hint="eastAsia" w:ascii="仿宋" w:hAnsi="仿宋" w:eastAsia="仿宋" w:cs="仿宋"/>
                <w:color w:val="auto"/>
                <w:sz w:val="24"/>
                <w:szCs w:val="24"/>
                <w:highlight w:val="none"/>
                <w:lang w:eastAsia="zh-CN" w:bidi="ar-SA"/>
              </w:rPr>
              <w:t>，</w:t>
            </w:r>
            <w:r>
              <w:rPr>
                <w:rFonts w:hint="eastAsia" w:ascii="仿宋" w:hAnsi="仿宋" w:eastAsia="仿宋" w:cs="仿宋"/>
                <w:color w:val="auto"/>
                <w:sz w:val="24"/>
                <w:szCs w:val="24"/>
                <w:highlight w:val="none"/>
                <w:lang w:val="en-US" w:eastAsia="zh-CN" w:bidi="ar-SA"/>
              </w:rPr>
              <w:t>0-3分</w:t>
            </w:r>
            <w:r>
              <w:rPr>
                <w:rFonts w:hint="eastAsia" w:ascii="仿宋" w:hAnsi="仿宋" w:eastAsia="仿宋" w:cs="仿宋"/>
                <w:color w:val="auto"/>
                <w:sz w:val="24"/>
                <w:szCs w:val="24"/>
                <w:highlight w:val="none"/>
                <w:lang w:bidi="ar-SA"/>
              </w:rPr>
              <w:t>。</w:t>
            </w:r>
          </w:p>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SA"/>
              </w:rPr>
              <w:t>5</w:t>
            </w:r>
            <w:r>
              <w:rPr>
                <w:rFonts w:hint="eastAsia" w:ascii="仿宋" w:hAnsi="仿宋" w:eastAsia="仿宋" w:cs="仿宋"/>
                <w:color w:val="auto"/>
                <w:kern w:val="0"/>
                <w:sz w:val="24"/>
                <w:szCs w:val="24"/>
                <w:highlight w:val="none"/>
                <w:lang w:bidi="ar-SA"/>
              </w:rPr>
              <w:t>.车辆防腐工艺。采用阴极电泳</w:t>
            </w:r>
            <w:r>
              <w:rPr>
                <w:rFonts w:hint="eastAsia" w:ascii="仿宋" w:hAnsi="仿宋" w:eastAsia="仿宋" w:cs="仿宋"/>
                <w:color w:val="auto"/>
                <w:kern w:val="0"/>
                <w:sz w:val="24"/>
                <w:szCs w:val="24"/>
                <w:highlight w:val="none"/>
                <w:lang w:eastAsia="zh-CN" w:bidi="ar-SA"/>
              </w:rPr>
              <w:t>的得</w:t>
            </w:r>
            <w:r>
              <w:rPr>
                <w:rFonts w:hint="eastAsia" w:ascii="仿宋" w:hAnsi="仿宋" w:eastAsia="仿宋" w:cs="仿宋"/>
                <w:color w:val="auto"/>
                <w:kern w:val="0"/>
                <w:sz w:val="24"/>
                <w:szCs w:val="24"/>
                <w:highlight w:val="none"/>
                <w:lang w:val="en-US" w:eastAsia="zh-CN" w:bidi="ar-SA"/>
              </w:rPr>
              <w:t>1分；未采用阴极电泳，但采用其他防腐金属材料或其他先进防腐工艺的</w:t>
            </w:r>
            <w:r>
              <w:rPr>
                <w:rFonts w:hint="eastAsia" w:ascii="仿宋" w:hAnsi="仿宋" w:eastAsia="仿宋" w:cs="仿宋"/>
                <w:color w:val="auto"/>
                <w:kern w:val="0"/>
                <w:sz w:val="24"/>
                <w:szCs w:val="24"/>
                <w:highlight w:val="none"/>
                <w:lang w:eastAsia="zh-CN" w:bidi="ar-SA"/>
              </w:rPr>
              <w:t>进行综合打分，</w:t>
            </w:r>
            <w:r>
              <w:rPr>
                <w:rFonts w:hint="eastAsia" w:ascii="仿宋" w:hAnsi="仿宋" w:eastAsia="仿宋" w:cs="仿宋"/>
                <w:color w:val="auto"/>
                <w:kern w:val="0"/>
                <w:sz w:val="24"/>
                <w:szCs w:val="24"/>
                <w:highlight w:val="none"/>
                <w:lang w:val="en-US" w:eastAsia="zh-CN" w:bidi="ar-SA"/>
              </w:rPr>
              <w:t>0-1分，</w:t>
            </w:r>
            <w:r>
              <w:rPr>
                <w:rFonts w:hint="eastAsia" w:ascii="仿宋" w:hAnsi="仿宋" w:eastAsia="仿宋" w:cs="仿宋"/>
                <w:color w:val="auto"/>
                <w:kern w:val="0"/>
                <w:sz w:val="24"/>
                <w:szCs w:val="24"/>
                <w:highlight w:val="none"/>
                <w:lang w:bidi="ar-SA"/>
              </w:rPr>
              <w:t>（投标人须提供相关证明材料，复印件加盖公章）</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r>
      <w:tr>
        <w:tblPrEx>
          <w:tblCellMar>
            <w:top w:w="0" w:type="dxa"/>
            <w:left w:w="108" w:type="dxa"/>
            <w:bottom w:w="0" w:type="dxa"/>
            <w:right w:w="108" w:type="dxa"/>
          </w:tblCellMar>
        </w:tblPrEx>
        <w:trPr>
          <w:trHeight w:val="534" w:hRule="atLeast"/>
          <w:jc w:val="center"/>
        </w:trPr>
        <w:tc>
          <w:tcPr>
            <w:tcW w:w="737" w:type="dxa"/>
            <w:vMerge w:val="restart"/>
            <w:tcBorders>
              <w:top w:val="single" w:color="auto" w:sz="4" w:space="0"/>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46" w:type="dxa"/>
            <w:vMerge w:val="restart"/>
            <w:tcBorders>
              <w:top w:val="single" w:color="auto" w:sz="4" w:space="0"/>
              <w:left w:val="single" w:color="auto" w:sz="4" w:space="0"/>
              <w:right w:val="single" w:color="auto" w:sz="4" w:space="0"/>
            </w:tcBorders>
            <w:vAlign w:val="center"/>
          </w:tcPr>
          <w:p>
            <w:pPr>
              <w:shd w:val="clear" w:color="auto"/>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纯电动系统关键性能评定</w:t>
            </w:r>
          </w:p>
          <w:p>
            <w:pPr>
              <w:shd w:val="clear" w:color="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SA"/>
              </w:rPr>
              <w:t>（6分）</w:t>
            </w: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整车控制器、电池箱体、电机防护等级达到IP68或以上且能提供第三方机构检测报告的，得1分；其余不得分。（投标人须提供相关证明材料，否则不得分，复印件加盖公章）</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所投产品整车控制器、电机控制器、驱动电机核心产品为制造商自主研发（制造商与核心产品生产商需一致）的得2分，非制造商自主研发的得1分，无证明文件的不得分。（投标人须提供相关证明文件，如车型公告、检验报告等，否则不得分，复印件加盖公章）</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根据高工产业研究院（GGII）</w:t>
            </w:r>
            <w:r>
              <w:rPr>
                <w:rFonts w:hint="eastAsia" w:ascii="仿宋" w:hAnsi="仿宋" w:eastAsia="仿宋" w:cs="仿宋"/>
                <w:color w:val="auto"/>
                <w:kern w:val="0"/>
                <w:sz w:val="24"/>
                <w:szCs w:val="24"/>
                <w:highlight w:val="none"/>
                <w:lang w:eastAsia="zh-CN" w:bidi="ar-SA"/>
              </w:rPr>
              <w:t>最新</w:t>
            </w:r>
            <w:r>
              <w:rPr>
                <w:rFonts w:hint="eastAsia" w:ascii="仿宋" w:hAnsi="仿宋" w:eastAsia="仿宋" w:cs="仿宋"/>
                <w:color w:val="auto"/>
                <w:kern w:val="0"/>
                <w:sz w:val="24"/>
                <w:szCs w:val="24"/>
                <w:highlight w:val="none"/>
                <w:lang w:bidi="ar-SA"/>
              </w:rPr>
              <w:t>发布的中国动力电池装机量排名，采用装机量第一的动力电池品牌的得3分，采用装机量第二的动力电池品牌的得2分，采用装机量第三的动力电池品牌的得1分，其余品牌不得分。（投标人须提供产品公告页参数文件及高工产研发布的动力电池装机量排名证明材料，否则不得分，复印件加盖公章）</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tblPrEx>
          <w:tblCellMar>
            <w:top w:w="0" w:type="dxa"/>
            <w:left w:w="108" w:type="dxa"/>
            <w:bottom w:w="0" w:type="dxa"/>
            <w:right w:w="108" w:type="dxa"/>
          </w:tblCellMar>
        </w:tblPrEx>
        <w:trPr>
          <w:trHeight w:val="984" w:hRule="atLeast"/>
          <w:jc w:val="center"/>
        </w:trPr>
        <w:tc>
          <w:tcPr>
            <w:tcW w:w="737" w:type="dxa"/>
            <w:vMerge w:val="restart"/>
            <w:tcBorders>
              <w:top w:val="single" w:color="auto" w:sz="4" w:space="0"/>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46" w:type="dxa"/>
            <w:vMerge w:val="restart"/>
            <w:tcBorders>
              <w:top w:val="single" w:color="auto" w:sz="4" w:space="0"/>
              <w:left w:val="single" w:color="auto" w:sz="4" w:space="0"/>
              <w:right w:val="single" w:color="auto" w:sz="4" w:space="0"/>
            </w:tcBorders>
            <w:vAlign w:val="center"/>
          </w:tcPr>
          <w:p>
            <w:pPr>
              <w:shd w:val="clear" w:color="auto"/>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售后服务</w:t>
            </w:r>
          </w:p>
          <w:p>
            <w:pPr>
              <w:shd w:val="clear" w:color="auto"/>
              <w:jc w:val="center"/>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及质保</w:t>
            </w:r>
          </w:p>
          <w:p>
            <w:pPr>
              <w:shd w:val="clear" w:color="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SA"/>
              </w:rPr>
              <w:t>（17分）</w:t>
            </w:r>
          </w:p>
        </w:tc>
        <w:tc>
          <w:tcPr>
            <w:tcW w:w="6655" w:type="dxa"/>
            <w:tcBorders>
              <w:top w:val="single" w:color="auto" w:sz="4" w:space="0"/>
              <w:left w:val="single" w:color="auto" w:sz="4" w:space="0"/>
              <w:bottom w:val="single" w:color="auto" w:sz="4" w:space="0"/>
              <w:right w:val="single" w:color="auto" w:sz="4" w:space="0"/>
            </w:tcBorders>
            <w:vAlign w:val="center"/>
          </w:tcPr>
          <w:p>
            <w:pPr>
              <w:shd w:val="clear" w:color="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投标人需制定明确的、具有可操作性的驾驶和维修人员的培训计划、车辆维保体系构建运行方案、车辆技术支持方案以及车辆应急处理方案，</w:t>
            </w:r>
            <w:r>
              <w:rPr>
                <w:rFonts w:hint="eastAsia" w:ascii="仿宋" w:hAnsi="仿宋" w:eastAsia="仿宋" w:cs="仿宋"/>
                <w:color w:val="auto"/>
                <w:kern w:val="0"/>
                <w:sz w:val="24"/>
                <w:szCs w:val="24"/>
                <w:highlight w:val="none"/>
                <w:lang w:val="en-US" w:eastAsia="zh-CN" w:bidi="ar-SA"/>
              </w:rPr>
              <w:t>由评委进行综合打分，0-2分</w:t>
            </w:r>
            <w:r>
              <w:rPr>
                <w:rFonts w:hint="eastAsia" w:ascii="仿宋" w:hAnsi="仿宋" w:eastAsia="仿宋" w:cs="仿宋"/>
                <w:color w:val="auto"/>
                <w:kern w:val="0"/>
                <w:sz w:val="24"/>
                <w:szCs w:val="24"/>
                <w:highlight w:val="none"/>
                <w:lang w:bidi="ar-SA"/>
              </w:rPr>
              <w:t>。</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shd w:val="clear" w:color="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承诺整车质保期不计里程4年，每延长1年加1分，最高得4分（须提供承诺书，否则不得分）。</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投标人所投产品在招标人营运范围内已经设立特约维修服务站的或承诺在中标后一个月内设立的，得1分。（投标人提供相关证明材料或承诺书，不提供不得分，复印件须加盖公章）</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tblPrEx>
          <w:tblCellMar>
            <w:top w:w="0" w:type="dxa"/>
            <w:left w:w="108" w:type="dxa"/>
            <w:bottom w:w="0" w:type="dxa"/>
            <w:right w:w="108" w:type="dxa"/>
          </w:tblCellMar>
        </w:tblPrEx>
        <w:trPr>
          <w:trHeight w:val="984" w:hRule="atLeast"/>
          <w:jc w:val="center"/>
        </w:trPr>
        <w:tc>
          <w:tcPr>
            <w:tcW w:w="737" w:type="dxa"/>
            <w:vMerge w:val="continue"/>
            <w:tcBorders>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1146" w:type="dxa"/>
            <w:vMerge w:val="continue"/>
            <w:tcBorders>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rPr>
            </w:pPr>
          </w:p>
        </w:tc>
        <w:tc>
          <w:tcPr>
            <w:tcW w:w="6655" w:type="dxa"/>
            <w:tcBorders>
              <w:top w:val="single" w:color="auto" w:sz="4" w:space="0"/>
              <w:left w:val="single" w:color="auto" w:sz="4" w:space="0"/>
              <w:bottom w:val="single" w:color="auto" w:sz="4" w:space="0"/>
              <w:right w:val="single" w:color="auto" w:sz="4" w:space="0"/>
            </w:tcBorders>
            <w:vAlign w:val="center"/>
          </w:tcPr>
          <w:p>
            <w:pPr>
              <w:pStyle w:val="25"/>
              <w:widowControl/>
              <w:shd w:val="clear" w:color="auto"/>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SA"/>
              </w:rPr>
              <w:t>针对第3点“</w:t>
            </w:r>
            <w:r>
              <w:rPr>
                <w:rFonts w:hint="eastAsia" w:ascii="仿宋" w:hAnsi="仿宋" w:eastAsia="仿宋" w:cs="仿宋"/>
                <w:color w:val="auto"/>
                <w:sz w:val="24"/>
                <w:szCs w:val="24"/>
                <w:highlight w:val="none"/>
                <w:lang w:bidi="ar-SA"/>
              </w:rPr>
              <w:t>整车技术配置需求</w:t>
            </w:r>
            <w:r>
              <w:rPr>
                <w:rFonts w:hint="eastAsia" w:ascii="仿宋" w:hAnsi="仿宋" w:eastAsia="仿宋" w:cs="仿宋"/>
                <w:color w:val="auto"/>
                <w:kern w:val="0"/>
                <w:sz w:val="24"/>
                <w:szCs w:val="24"/>
                <w:highlight w:val="none"/>
                <w:lang w:bidi="ar-SA"/>
              </w:rPr>
              <w:t>”第18项“质保要求”，投标人能分别出具全部的中标后签订八年质保协议承诺书的，得满分10分，每缺一项扣2分，扣完为止。</w:t>
            </w:r>
          </w:p>
        </w:tc>
        <w:tc>
          <w:tcPr>
            <w:tcW w:w="857" w:type="dxa"/>
            <w:tcBorders>
              <w:top w:val="single" w:color="auto" w:sz="4" w:space="0"/>
              <w:left w:val="single" w:color="auto" w:sz="4" w:space="0"/>
              <w:bottom w:val="single" w:color="auto" w:sz="4" w:space="0"/>
              <w:right w:val="single" w:color="auto" w:sz="4" w:space="0"/>
            </w:tcBorders>
            <w:vAlign w:val="center"/>
          </w:tcPr>
          <w:p>
            <w:pPr>
              <w:keepNext/>
              <w:keepLines/>
              <w:widowControl/>
              <w:shd w:val="clear"/>
              <w:tabs>
                <w:tab w:val="left" w:pos="432"/>
              </w:tabs>
              <w:spacing w:line="400" w:lineRule="exact"/>
              <w:ind w:hanging="432"/>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bl>
    <w:p>
      <w:pPr>
        <w:shd w:val="clea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hd w:val="clea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pPr>
        <w:shd w:val="clea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hd w:val="clea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bookmarkEnd w:id="37"/>
    <w:bookmarkEnd w:id="38"/>
    <w:p>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pPr>
        <w:shd w:val="clear"/>
        <w:spacing w:line="360" w:lineRule="auto"/>
        <w:jc w:val="center"/>
        <w:outlineLvl w:val="0"/>
        <w:rPr>
          <w:rFonts w:hint="eastAsia" w:ascii="仿宋" w:hAnsi="仿宋" w:eastAsia="仿宋" w:cs="仿宋"/>
          <w:b/>
          <w:color w:val="auto"/>
          <w:kern w:val="0"/>
          <w:sz w:val="36"/>
          <w:szCs w:val="36"/>
          <w:highlight w:val="none"/>
        </w:rPr>
      </w:pPr>
    </w:p>
    <w:p>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hd w:val="clear"/>
        <w:spacing w:line="360" w:lineRule="auto"/>
        <w:jc w:val="center"/>
        <w:outlineLvl w:val="0"/>
        <w:rPr>
          <w:rFonts w:hint="eastAsia" w:ascii="仿宋" w:hAnsi="仿宋" w:eastAsia="仿宋" w:cs="仿宋"/>
          <w:b/>
          <w:color w:val="auto"/>
          <w:kern w:val="0"/>
          <w:sz w:val="36"/>
          <w:szCs w:val="36"/>
          <w:highlight w:val="none"/>
        </w:rPr>
      </w:pP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shd w:val="clear"/>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hd w:val="clear"/>
        <w:snapToGrid w:val="0"/>
        <w:spacing w:line="360" w:lineRule="auto"/>
        <w:rPr>
          <w:rFonts w:hint="eastAsia" w:ascii="仿宋" w:hAnsi="仿宋" w:eastAsia="仿宋" w:cs="仿宋"/>
          <w:color w:val="auto"/>
          <w:sz w:val="24"/>
          <w:highlight w:val="none"/>
        </w:rPr>
      </w:pPr>
    </w:p>
    <w:p>
      <w:pPr>
        <w:shd w:val="clear"/>
        <w:snapToGrid w:val="0"/>
        <w:spacing w:line="360" w:lineRule="auto"/>
        <w:ind w:firstLine="480" w:firstLineChars="200"/>
        <w:rPr>
          <w:rFonts w:hint="eastAsia" w:ascii="仿宋" w:hAnsi="仿宋" w:eastAsia="仿宋" w:cs="仿宋"/>
          <w:color w:val="auto"/>
          <w:sz w:val="24"/>
          <w:highlight w:val="none"/>
        </w:rPr>
      </w:pPr>
    </w:p>
    <w:p>
      <w:pPr>
        <w:shd w:val="clear"/>
        <w:spacing w:line="360" w:lineRule="auto"/>
        <w:ind w:firstLine="480" w:firstLineChars="200"/>
        <w:rPr>
          <w:rFonts w:hint="eastAsia" w:ascii="仿宋" w:hAnsi="仿宋" w:eastAsia="仿宋" w:cs="仿宋"/>
          <w:color w:val="auto"/>
          <w:sz w:val="24"/>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一、符合参加采购活动应当具备的一般条件的承诺函</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pPr>
        <w:shd w:val="clea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pPr>
        <w:shd w:val="clea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hd w:val="clea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widowControl/>
        <w:shd w:val="clea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hd w:val="clear"/>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2"/>
        <w:shd w:val="clear"/>
        <w:rPr>
          <w:rFonts w:hint="eastAsia" w:ascii="仿宋" w:hAnsi="仿宋" w:eastAsia="仿宋" w:cs="仿宋"/>
          <w:color w:val="auto"/>
          <w:highlight w:val="none"/>
        </w:rPr>
      </w:pPr>
    </w:p>
    <w:p>
      <w:pPr>
        <w:shd w:val="clea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hd w:val="clear"/>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pPr>
        <w:shd w:val="clea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hd w:val="clear"/>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pPr>
        <w:shd w:val="clea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hd w:val="clear"/>
        <w:spacing w:line="360" w:lineRule="auto"/>
        <w:ind w:left="150"/>
        <w:jc w:val="center"/>
        <w:rPr>
          <w:rFonts w:hint="eastAsia" w:ascii="仿宋" w:hAnsi="仿宋" w:eastAsia="仿宋" w:cs="仿宋"/>
          <w:b/>
          <w:color w:val="auto"/>
          <w:kern w:val="0"/>
          <w:sz w:val="32"/>
          <w:szCs w:val="32"/>
          <w:highlight w:val="none"/>
        </w:rPr>
      </w:pPr>
    </w:p>
    <w:p>
      <w:pPr>
        <w:widowControl/>
        <w:shd w:val="clear"/>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hd w:val="clear"/>
        <w:spacing w:line="336" w:lineRule="auto"/>
        <w:jc w:val="center"/>
        <w:rPr>
          <w:rFonts w:hint="eastAsia" w:ascii="仿宋" w:hAnsi="仿宋" w:eastAsia="仿宋" w:cs="仿宋"/>
          <w:b/>
          <w:color w:val="auto"/>
          <w:kern w:val="0"/>
          <w:sz w:val="36"/>
          <w:szCs w:val="36"/>
          <w:highlight w:val="none"/>
        </w:rPr>
      </w:pPr>
    </w:p>
    <w:p>
      <w:pPr>
        <w:shd w:val="clear"/>
        <w:spacing w:line="336" w:lineRule="auto"/>
        <w:jc w:val="center"/>
        <w:rPr>
          <w:rFonts w:hint="eastAsia" w:ascii="仿宋" w:hAnsi="仿宋" w:eastAsia="仿宋" w:cs="仿宋"/>
          <w:b/>
          <w:color w:val="auto"/>
          <w:kern w:val="0"/>
          <w:sz w:val="36"/>
          <w:szCs w:val="36"/>
          <w:highlight w:val="none"/>
        </w:rPr>
      </w:pPr>
    </w:p>
    <w:p>
      <w:pPr>
        <w:shd w:val="clea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hd w:val="clear"/>
        <w:spacing w:line="336" w:lineRule="auto"/>
        <w:jc w:val="center"/>
        <w:outlineLvl w:val="0"/>
        <w:rPr>
          <w:rFonts w:hint="eastAsia" w:ascii="仿宋" w:hAnsi="仿宋" w:eastAsia="仿宋" w:cs="仿宋"/>
          <w:b/>
          <w:color w:val="auto"/>
          <w:kern w:val="0"/>
          <w:sz w:val="24"/>
          <w:highlight w:val="none"/>
        </w:rPr>
      </w:pPr>
    </w:p>
    <w:p>
      <w:pPr>
        <w:shd w:val="clea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shd w:val="clea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pPr>
        <w:pStyle w:val="904"/>
        <w:shd w:val="clea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（2）法定代表人授权书…………………………………………………………（页码）</w:t>
      </w: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904"/>
        <w:shd w:val="clea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pPr>
        <w:pStyle w:val="904"/>
        <w:shd w:val="clea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（5）法定代表人身份证明书………………………………………………………（页码）</w:t>
      </w:r>
    </w:p>
    <w:p>
      <w:pPr>
        <w:pStyle w:val="904"/>
        <w:shd w:val="clea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（6）商务技术偏离表………………………………………………………………（页码）</w:t>
      </w:r>
    </w:p>
    <w:p>
      <w:pPr>
        <w:pStyle w:val="904"/>
        <w:shd w:val="clear"/>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（7）采购供应商廉洁自律承诺书</w:t>
      </w:r>
      <w:r>
        <w:rPr>
          <w:rFonts w:hint="eastAsia" w:ascii="仿宋" w:hAnsi="仿宋" w:eastAsia="仿宋" w:cs="仿宋"/>
          <w:color w:val="auto"/>
          <w:highlight w:val="none"/>
        </w:rPr>
        <w:t>……………………………………………（页码）</w:t>
      </w:r>
    </w:p>
    <w:p>
      <w:pPr>
        <w:shd w:val="clea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hd w:val="clea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hd w:val="clea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hd w:val="clea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hd w:val="clear"/>
        <w:snapToGrid w:val="0"/>
        <w:spacing w:line="360" w:lineRule="auto"/>
        <w:jc w:val="center"/>
        <w:rPr>
          <w:rFonts w:hint="eastAsia" w:ascii="仿宋" w:hAnsi="仿宋" w:eastAsia="仿宋" w:cs="仿宋"/>
          <w:b/>
          <w:color w:val="auto"/>
          <w:kern w:val="0"/>
          <w:sz w:val="32"/>
          <w:szCs w:val="32"/>
          <w:highlight w:val="none"/>
          <w:lang w:val="zh-CN"/>
        </w:rPr>
      </w:pPr>
    </w:p>
    <w:p>
      <w:pPr>
        <w:shd w:val="clear"/>
        <w:snapToGrid w:val="0"/>
        <w:spacing w:line="360" w:lineRule="auto"/>
        <w:jc w:val="center"/>
        <w:rPr>
          <w:rFonts w:hint="eastAsia" w:ascii="仿宋" w:hAnsi="仿宋" w:eastAsia="仿宋" w:cs="仿宋"/>
          <w:b/>
          <w:color w:val="auto"/>
          <w:kern w:val="0"/>
          <w:sz w:val="32"/>
          <w:szCs w:val="32"/>
          <w:highlight w:val="none"/>
          <w:lang w:val="zh-CN"/>
        </w:rPr>
      </w:pPr>
    </w:p>
    <w:p>
      <w:pPr>
        <w:pStyle w:val="2"/>
        <w:shd w:val="clear"/>
        <w:rPr>
          <w:rFonts w:hint="eastAsia" w:ascii="仿宋" w:hAnsi="仿宋" w:eastAsia="仿宋" w:cs="仿宋"/>
          <w:color w:val="auto"/>
          <w:highlight w:val="none"/>
          <w:lang w:val="zh-CN"/>
        </w:rPr>
      </w:pPr>
    </w:p>
    <w:p>
      <w:pPr>
        <w:pStyle w:val="3"/>
        <w:shd w:val="clear"/>
        <w:rPr>
          <w:rFonts w:hint="eastAsia" w:ascii="仿宋" w:hAnsi="仿宋" w:eastAsia="仿宋" w:cs="仿宋"/>
          <w:color w:val="auto"/>
          <w:highlight w:val="none"/>
          <w:lang w:val="zh-CN"/>
        </w:rPr>
      </w:pPr>
    </w:p>
    <w:p>
      <w:pPr>
        <w:shd w:val="clear"/>
        <w:rPr>
          <w:rFonts w:hint="eastAsia" w:ascii="仿宋" w:hAnsi="仿宋" w:eastAsia="仿宋" w:cs="仿宋"/>
          <w:color w:val="auto"/>
          <w:highlight w:val="none"/>
          <w:lang w:val="zh-CN"/>
        </w:rPr>
      </w:pPr>
    </w:p>
    <w:p>
      <w:pPr>
        <w:shd w:val="clear"/>
        <w:snapToGrid w:val="0"/>
        <w:spacing w:line="360" w:lineRule="auto"/>
        <w:jc w:val="center"/>
        <w:rPr>
          <w:rFonts w:hint="eastAsia" w:ascii="仿宋" w:hAnsi="仿宋" w:eastAsia="仿宋" w:cs="仿宋"/>
          <w:b/>
          <w:color w:val="auto"/>
          <w:kern w:val="0"/>
          <w:sz w:val="32"/>
          <w:szCs w:val="32"/>
          <w:highlight w:val="none"/>
          <w:lang w:val="zh-CN"/>
        </w:rPr>
      </w:pPr>
    </w:p>
    <w:p>
      <w:pPr>
        <w:shd w:val="clear"/>
        <w:snapToGrid w:val="0"/>
        <w:spacing w:line="360" w:lineRule="auto"/>
        <w:jc w:val="center"/>
        <w:rPr>
          <w:rFonts w:hint="eastAsia" w:ascii="仿宋" w:hAnsi="仿宋" w:eastAsia="仿宋" w:cs="仿宋"/>
          <w:b/>
          <w:color w:val="auto"/>
          <w:kern w:val="0"/>
          <w:sz w:val="32"/>
          <w:szCs w:val="32"/>
          <w:highlight w:val="none"/>
          <w:lang w:val="zh-CN"/>
        </w:rPr>
      </w:pPr>
    </w:p>
    <w:p>
      <w:pPr>
        <w:shd w:val="clea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shd w:val="clear"/>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5"/>
        <w:shd w:val="clear"/>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5"/>
        <w:shd w:val="clear"/>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hd w:val="clea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395"/>
        <w:shd w:val="clear"/>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hd w:val="clear"/>
        <w:snapToGrid w:val="0"/>
        <w:spacing w:line="336" w:lineRule="auto"/>
        <w:ind w:firstLine="480" w:firstLineChars="200"/>
        <w:jc w:val="left"/>
        <w:rPr>
          <w:rFonts w:hint="eastAsia" w:ascii="仿宋" w:hAnsi="仿宋" w:eastAsia="仿宋" w:cs="仿宋"/>
          <w:color w:val="auto"/>
          <w:sz w:val="24"/>
          <w:highlight w:val="none"/>
        </w:rPr>
      </w:pPr>
    </w:p>
    <w:p>
      <w:pPr>
        <w:shd w:val="clea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hd w:val="clear"/>
        <w:snapToGrid w:val="0"/>
        <w:spacing w:line="360" w:lineRule="auto"/>
        <w:jc w:val="center"/>
        <w:rPr>
          <w:rFonts w:hint="eastAsia" w:ascii="仿宋" w:hAnsi="仿宋" w:eastAsia="仿宋" w:cs="仿宋"/>
          <w:b/>
          <w:color w:val="auto"/>
          <w:kern w:val="0"/>
          <w:sz w:val="32"/>
          <w:szCs w:val="32"/>
          <w:highlight w:val="none"/>
        </w:rPr>
      </w:pPr>
    </w:p>
    <w:p>
      <w:pPr>
        <w:shd w:val="clear"/>
        <w:snapToGrid w:val="0"/>
        <w:spacing w:line="360" w:lineRule="auto"/>
        <w:rPr>
          <w:rFonts w:hint="eastAsia" w:ascii="仿宋" w:hAnsi="仿宋" w:eastAsia="仿宋" w:cs="仿宋"/>
          <w:color w:val="auto"/>
          <w:sz w:val="24"/>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pStyle w:val="2"/>
        <w:shd w:val="clear"/>
        <w:jc w:val="center"/>
        <w:rPr>
          <w:rFonts w:hint="eastAsia" w:ascii="仿宋" w:hAnsi="仿宋" w:eastAsia="仿宋" w:cs="仿宋"/>
          <w:color w:val="auto"/>
          <w:highlight w:val="none"/>
        </w:rPr>
      </w:pPr>
    </w:p>
    <w:p>
      <w:pPr>
        <w:pStyle w:val="3"/>
        <w:shd w:val="clear"/>
        <w:jc w:val="center"/>
        <w:rPr>
          <w:rFonts w:hint="eastAsia" w:ascii="仿宋" w:hAnsi="仿宋" w:eastAsia="仿宋" w:cs="仿宋"/>
          <w:color w:val="auto"/>
          <w:highlight w:val="none"/>
        </w:rPr>
      </w:pPr>
    </w:p>
    <w:p>
      <w:pPr>
        <w:shd w:val="clear"/>
        <w:jc w:val="center"/>
        <w:rPr>
          <w:rFonts w:hint="eastAsia" w:ascii="仿宋" w:hAnsi="仿宋" w:eastAsia="仿宋" w:cs="仿宋"/>
          <w:color w:val="auto"/>
          <w:highlight w:val="none"/>
        </w:rPr>
      </w:pPr>
    </w:p>
    <w:p>
      <w:pPr>
        <w:pStyle w:val="2"/>
        <w:shd w:val="clear"/>
        <w:jc w:val="center"/>
        <w:rPr>
          <w:rFonts w:hint="eastAsia" w:ascii="仿宋" w:hAnsi="仿宋" w:eastAsia="仿宋" w:cs="仿宋"/>
          <w:color w:val="auto"/>
          <w:highlight w:val="none"/>
        </w:rPr>
      </w:pPr>
    </w:p>
    <w:p>
      <w:pPr>
        <w:pStyle w:val="3"/>
        <w:shd w:val="clear"/>
        <w:jc w:val="center"/>
        <w:rPr>
          <w:rFonts w:hint="eastAsia" w:ascii="仿宋" w:hAnsi="仿宋" w:eastAsia="仿宋" w:cs="仿宋"/>
          <w:color w:val="auto"/>
          <w:highlight w:val="none"/>
        </w:rPr>
      </w:pPr>
    </w:p>
    <w:p>
      <w:pPr>
        <w:shd w:val="clear"/>
        <w:jc w:val="center"/>
        <w:rPr>
          <w:rFonts w:hint="eastAsia" w:ascii="仿宋" w:hAnsi="仿宋" w:eastAsia="仿宋" w:cs="仿宋"/>
          <w:color w:val="auto"/>
          <w:highlight w:val="none"/>
        </w:rPr>
      </w:pPr>
    </w:p>
    <w:p>
      <w:pPr>
        <w:pStyle w:val="2"/>
        <w:shd w:val="clear"/>
        <w:jc w:val="center"/>
        <w:rPr>
          <w:rFonts w:hint="eastAsia" w:ascii="仿宋" w:hAnsi="仿宋" w:eastAsia="仿宋" w:cs="仿宋"/>
          <w:color w:val="auto"/>
          <w:highlight w:val="none"/>
        </w:rPr>
      </w:pPr>
    </w:p>
    <w:p>
      <w:pPr>
        <w:pStyle w:val="3"/>
        <w:shd w:val="clear"/>
        <w:jc w:val="cente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jc w:val="center"/>
        <w:rPr>
          <w:rFonts w:hint="eastAsia" w:ascii="仿宋" w:hAnsi="仿宋" w:eastAsia="仿宋" w:cs="仿宋"/>
          <w:b/>
          <w:color w:val="auto"/>
          <w:kern w:val="0"/>
          <w:sz w:val="32"/>
          <w:szCs w:val="32"/>
          <w:highlight w:val="none"/>
        </w:rPr>
      </w:pPr>
    </w:p>
    <w:p>
      <w:pPr>
        <w:shd w:val="clear"/>
        <w:jc w:val="center"/>
        <w:rPr>
          <w:rFonts w:hint="eastAsia" w:ascii="仿宋" w:hAnsi="仿宋" w:eastAsia="仿宋" w:cs="仿宋"/>
          <w:b/>
          <w:color w:val="auto"/>
          <w:kern w:val="0"/>
          <w:sz w:val="32"/>
          <w:szCs w:val="32"/>
          <w:highlight w:val="none"/>
        </w:rPr>
      </w:pPr>
    </w:p>
    <w:p>
      <w:pPr>
        <w:widowControl/>
        <w:shd w:val="clear"/>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pPr>
        <w:shd w:val="clear"/>
        <w:jc w:val="center"/>
        <w:rPr>
          <w:rFonts w:hint="eastAsia" w:ascii="仿宋" w:hAnsi="仿宋" w:eastAsia="仿宋" w:cs="仿宋"/>
          <w:b/>
          <w:color w:val="auto"/>
          <w:sz w:val="24"/>
          <w:highlight w:val="none"/>
        </w:rPr>
      </w:pPr>
    </w:p>
    <w:p>
      <w:pPr>
        <w:shd w:val="clea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hd w:val="clear"/>
        <w:snapToGrid w:val="0"/>
        <w:spacing w:line="600" w:lineRule="exact"/>
        <w:jc w:val="lef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hd w:val="clear"/>
        <w:spacing w:line="360" w:lineRule="exact"/>
        <w:rPr>
          <w:rFonts w:hint="eastAsia" w:ascii="仿宋" w:hAnsi="仿宋" w:eastAsia="仿宋" w:cs="仿宋"/>
          <w:color w:val="auto"/>
          <w:sz w:val="24"/>
          <w:highlight w:val="none"/>
        </w:rPr>
      </w:pPr>
    </w:p>
    <w:p>
      <w:pPr>
        <w:widowControl/>
        <w:shd w:val="clea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p>
    <w:p>
      <w:pPr>
        <w:shd w:val="clea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shd w:val="clear"/>
        <w:ind w:firstLine="4920" w:firstLineChars="2050"/>
        <w:jc w:val="left"/>
        <w:rPr>
          <w:rFonts w:hint="eastAsia" w:ascii="仿宋" w:hAnsi="仿宋" w:eastAsia="仿宋" w:cs="仿宋"/>
          <w:color w:val="auto"/>
          <w:sz w:val="24"/>
          <w:highlight w:val="none"/>
        </w:rPr>
      </w:pPr>
    </w:p>
    <w:p>
      <w:pPr>
        <w:shd w:val="clear"/>
        <w:spacing w:line="800" w:lineRule="exact"/>
        <w:rPr>
          <w:rFonts w:hint="eastAsia" w:ascii="仿宋" w:hAnsi="仿宋" w:eastAsia="仿宋" w:cs="仿宋"/>
          <w:b/>
          <w:color w:val="auto"/>
          <w:sz w:val="24"/>
          <w:highlight w:val="none"/>
        </w:rPr>
      </w:pPr>
    </w:p>
    <w:p>
      <w:pPr>
        <w:pageBreakBefore/>
        <w:shd w:val="clea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pPr>
        <w:shd w:val="clear"/>
        <w:jc w:val="center"/>
        <w:rPr>
          <w:rFonts w:hint="eastAsia" w:ascii="仿宋" w:hAnsi="仿宋" w:eastAsia="仿宋" w:cs="仿宋"/>
          <w:b/>
          <w:color w:val="auto"/>
          <w:sz w:val="24"/>
          <w:highlight w:val="none"/>
        </w:rPr>
      </w:pPr>
    </w:p>
    <w:p>
      <w:pPr>
        <w:shd w:val="clea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hd w:val="clea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hd w:val="clear"/>
        <w:snapToGrid w:val="0"/>
        <w:spacing w:line="600" w:lineRule="exact"/>
        <w:jc w:val="lef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hd w:val="clear"/>
        <w:spacing w:line="360" w:lineRule="exact"/>
        <w:rPr>
          <w:rFonts w:hint="eastAsia" w:ascii="仿宋" w:hAnsi="仿宋" w:eastAsia="仿宋" w:cs="仿宋"/>
          <w:color w:val="auto"/>
          <w:sz w:val="24"/>
          <w:highlight w:val="none"/>
        </w:rPr>
      </w:pPr>
    </w:p>
    <w:p>
      <w:pPr>
        <w:widowControl/>
        <w:shd w:val="clea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hd w:val="clear"/>
        <w:spacing w:line="360" w:lineRule="exact"/>
        <w:rPr>
          <w:rFonts w:hint="eastAsia" w:ascii="仿宋" w:hAnsi="仿宋" w:eastAsia="仿宋" w:cs="仿宋"/>
          <w:color w:val="auto"/>
          <w:sz w:val="24"/>
          <w:highlight w:val="none"/>
        </w:rPr>
      </w:pPr>
    </w:p>
    <w:p>
      <w:pPr>
        <w:shd w:val="clear"/>
        <w:spacing w:line="360" w:lineRule="exact"/>
        <w:rPr>
          <w:rFonts w:hint="eastAsia" w:ascii="仿宋" w:hAnsi="仿宋" w:eastAsia="仿宋" w:cs="仿宋"/>
          <w:color w:val="auto"/>
          <w:sz w:val="24"/>
          <w:highlight w:val="none"/>
        </w:rPr>
      </w:pPr>
    </w:p>
    <w:p>
      <w:pPr>
        <w:shd w:val="clear"/>
        <w:jc w:val="center"/>
        <w:rPr>
          <w:rFonts w:hint="eastAsia" w:ascii="仿宋" w:hAnsi="仿宋" w:eastAsia="仿宋" w:cs="仿宋"/>
          <w:b/>
          <w:color w:val="auto"/>
          <w:kern w:val="0"/>
          <w:sz w:val="32"/>
          <w:szCs w:val="32"/>
          <w:highlight w:val="none"/>
        </w:rPr>
      </w:pPr>
    </w:p>
    <w:p>
      <w:pPr>
        <w:shd w:val="clear"/>
        <w:rPr>
          <w:rFonts w:hint="eastAsia" w:ascii="仿宋" w:hAnsi="仿宋" w:eastAsia="仿宋" w:cs="仿宋"/>
          <w:color w:val="auto"/>
          <w:highlight w:val="none"/>
        </w:rPr>
      </w:pPr>
    </w:p>
    <w:p>
      <w:pPr>
        <w:shd w:val="clea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hd w:val="clea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hd w:val="clear"/>
        <w:autoSpaceDE w:val="0"/>
        <w:autoSpaceDN w:val="0"/>
        <w:spacing w:line="360" w:lineRule="auto"/>
        <w:jc w:val="center"/>
        <w:rPr>
          <w:rFonts w:hint="eastAsia" w:ascii="仿宋" w:hAnsi="仿宋" w:eastAsia="仿宋" w:cs="仿宋"/>
          <w:b/>
          <w:color w:val="auto"/>
          <w:kern w:val="0"/>
          <w:sz w:val="32"/>
          <w:szCs w:val="32"/>
          <w:highlight w:val="none"/>
          <w:lang w:val="zh-CN"/>
        </w:rPr>
      </w:pPr>
    </w:p>
    <w:p>
      <w:pPr>
        <w:shd w:val="clear"/>
        <w:spacing w:line="800" w:lineRule="exact"/>
        <w:rPr>
          <w:rFonts w:hint="eastAsia" w:ascii="仿宋" w:hAnsi="仿宋" w:eastAsia="仿宋" w:cs="仿宋"/>
          <w:b/>
          <w:color w:val="auto"/>
          <w:sz w:val="24"/>
          <w:highlight w:val="none"/>
        </w:rPr>
      </w:pPr>
    </w:p>
    <w:p>
      <w:pPr>
        <w:shd w:val="clea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hd w:val="clear"/>
        <w:spacing w:line="800" w:lineRule="exact"/>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p>
    <w:p>
      <w:pPr>
        <w:shd w:val="clear"/>
        <w:spacing w:line="800" w:lineRule="exact"/>
        <w:jc w:val="left"/>
        <w:rPr>
          <w:rFonts w:hint="eastAsia" w:ascii="仿宋" w:hAnsi="仿宋" w:eastAsia="仿宋" w:cs="仿宋"/>
          <w:b/>
          <w:color w:val="auto"/>
          <w:sz w:val="30"/>
          <w:szCs w:val="30"/>
          <w:highlight w:val="none"/>
        </w:rPr>
      </w:pPr>
    </w:p>
    <w:p>
      <w:pPr>
        <w:pStyle w:val="2"/>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shd w:val="clea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hd w:val="clear"/>
        <w:rPr>
          <w:rFonts w:hint="eastAsia" w:ascii="仿宋" w:hAnsi="仿宋" w:eastAsia="仿宋" w:cs="仿宋"/>
          <w:b/>
          <w:color w:val="auto"/>
          <w:sz w:val="24"/>
          <w:highlight w:val="none"/>
        </w:rPr>
      </w:pPr>
    </w:p>
    <w:p>
      <w:pPr>
        <w:shd w:val="clear"/>
        <w:rPr>
          <w:rFonts w:hint="eastAsia" w:ascii="仿宋" w:hAnsi="仿宋" w:eastAsia="仿宋" w:cs="仿宋"/>
          <w:b/>
          <w:color w:val="auto"/>
          <w:sz w:val="24"/>
          <w:highlight w:val="none"/>
        </w:rPr>
      </w:pPr>
    </w:p>
    <w:p>
      <w:pPr>
        <w:pStyle w:val="2"/>
        <w:shd w:val="clear"/>
        <w:rPr>
          <w:rFonts w:hint="eastAsia" w:ascii="仿宋" w:hAnsi="仿宋" w:eastAsia="仿宋" w:cs="仿宋"/>
          <w:color w:val="auto"/>
          <w:highlight w:val="none"/>
        </w:rPr>
      </w:pPr>
    </w:p>
    <w:p>
      <w:pPr>
        <w:shd w:val="clea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hd w:val="clea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hd w:val="clea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hd w:val="clea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hd w:val="clear"/>
        <w:spacing w:line="440" w:lineRule="exact"/>
        <w:rPr>
          <w:rFonts w:hint="eastAsia" w:ascii="仿宋" w:hAnsi="仿宋" w:eastAsia="仿宋" w:cs="仿宋"/>
          <w:color w:val="auto"/>
          <w:sz w:val="24"/>
          <w:highlight w:val="none"/>
        </w:rPr>
      </w:pPr>
    </w:p>
    <w:p>
      <w:pPr>
        <w:shd w:val="clea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pPr>
        <w:shd w:val="clear"/>
        <w:spacing w:line="440" w:lineRule="exact"/>
        <w:ind w:right="480"/>
        <w:rPr>
          <w:rFonts w:hint="eastAsia" w:ascii="仿宋" w:hAnsi="仿宋" w:eastAsia="仿宋" w:cs="仿宋"/>
          <w:color w:val="auto"/>
          <w:sz w:val="24"/>
          <w:highlight w:val="none"/>
        </w:rPr>
      </w:pPr>
    </w:p>
    <w:p>
      <w:pPr>
        <w:shd w:val="clea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hd w:val="clear"/>
        <w:jc w:val="center"/>
        <w:rPr>
          <w:rFonts w:hint="eastAsia" w:ascii="仿宋" w:hAnsi="仿宋" w:eastAsia="仿宋" w:cs="仿宋"/>
          <w:b/>
          <w:color w:val="auto"/>
          <w:kern w:val="0"/>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hd w:val="clear"/>
              <w:autoSpaceDE w:val="0"/>
              <w:autoSpaceDN w:val="0"/>
              <w:spacing w:line="240" w:lineRule="atLeast"/>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center"/>
          </w:tcPr>
          <w:p>
            <w:pPr>
              <w:shd w:val="clear"/>
              <w:autoSpaceDE w:val="0"/>
              <w:autoSpaceDN w:val="0"/>
              <w:spacing w:line="240" w:lineRule="atLeast"/>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center"/>
          </w:tcPr>
          <w:p>
            <w:pPr>
              <w:shd w:val="clear"/>
              <w:autoSpaceDE w:val="0"/>
              <w:autoSpaceDN w:val="0"/>
              <w:spacing w:line="240" w:lineRule="atLeast"/>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vAlign w:val="center"/>
          </w:tcPr>
          <w:p>
            <w:pPr>
              <w:shd w:val="clear"/>
              <w:autoSpaceDE w:val="0"/>
              <w:autoSpaceDN w:val="0"/>
              <w:spacing w:line="240" w:lineRule="atLeast"/>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hd w:val="clear"/>
              <w:autoSpaceDE w:val="0"/>
              <w:autoSpaceDN w:val="0"/>
              <w:spacing w:line="240" w:lineRule="atLeast"/>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c>
          <w:tcPr>
            <w:tcW w:w="3546"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c>
          <w:tcPr>
            <w:tcW w:w="1276"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hd w:val="clear"/>
              <w:spacing w:line="240" w:lineRule="atLeast"/>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c>
          <w:tcPr>
            <w:tcW w:w="3546"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c>
          <w:tcPr>
            <w:tcW w:w="1276"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hd w:val="clear"/>
              <w:spacing w:line="240" w:lineRule="atLeast"/>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c>
          <w:tcPr>
            <w:tcW w:w="3546"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c>
          <w:tcPr>
            <w:tcW w:w="1276" w:type="dxa"/>
            <w:vAlign w:val="center"/>
          </w:tcPr>
          <w:p>
            <w:pPr>
              <w:keepNext/>
              <w:keepLines/>
              <w:shd w:val="clear"/>
              <w:tabs>
                <w:tab w:val="left" w:pos="432"/>
              </w:tabs>
              <w:spacing w:line="240" w:lineRule="atLeast"/>
              <w:jc w:val="center"/>
              <w:textAlignment w:val="center"/>
              <w:outlineLvl w:val="0"/>
              <w:rPr>
                <w:rFonts w:hint="eastAsia" w:ascii="仿宋" w:hAnsi="仿宋" w:eastAsia="仿宋" w:cs="仿宋"/>
                <w:b/>
                <w:color w:val="auto"/>
                <w:kern w:val="0"/>
                <w:sz w:val="32"/>
                <w:szCs w:val="32"/>
                <w:highlight w:val="none"/>
              </w:rPr>
            </w:pPr>
          </w:p>
        </w:tc>
      </w:tr>
    </w:tbl>
    <w:p>
      <w:pPr>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shd w:val="clear"/>
        <w:jc w:val="center"/>
        <w:rPr>
          <w:rFonts w:hint="eastAsia" w:ascii="仿宋" w:hAnsi="仿宋" w:eastAsia="仿宋" w:cs="仿宋"/>
          <w:b/>
          <w:color w:val="auto"/>
          <w:kern w:val="0"/>
          <w:sz w:val="32"/>
          <w:szCs w:val="32"/>
          <w:highlight w:val="none"/>
        </w:rPr>
      </w:pPr>
    </w:p>
    <w:p>
      <w:pPr>
        <w:shd w:val="clea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ind w:firstLine="1911" w:firstLineChars="595"/>
        <w:rPr>
          <w:rFonts w:hint="eastAsia" w:ascii="仿宋" w:hAnsi="仿宋" w:eastAsia="仿宋" w:cs="仿宋"/>
          <w:b/>
          <w:bCs/>
          <w:color w:val="auto"/>
          <w:sz w:val="32"/>
          <w:szCs w:val="32"/>
          <w:highlight w:val="none"/>
        </w:rPr>
      </w:pPr>
    </w:p>
    <w:p>
      <w:pPr>
        <w:pStyle w:val="2"/>
        <w:shd w:val="clear"/>
        <w:ind w:firstLine="1428"/>
        <w:rPr>
          <w:rFonts w:hint="eastAsia" w:ascii="仿宋" w:hAnsi="仿宋" w:eastAsia="仿宋" w:cs="仿宋"/>
          <w:color w:val="auto"/>
          <w:highlight w:val="none"/>
        </w:rPr>
      </w:pPr>
    </w:p>
    <w:p>
      <w:pPr>
        <w:pStyle w:val="3"/>
        <w:shd w:val="clear"/>
        <w:ind w:firstLine="1249"/>
        <w:rPr>
          <w:rFonts w:hint="eastAsia" w:ascii="仿宋" w:hAnsi="仿宋" w:eastAsia="仿宋" w:cs="仿宋"/>
          <w:color w:val="auto"/>
          <w:highlight w:val="none"/>
        </w:rPr>
      </w:pPr>
    </w:p>
    <w:p>
      <w:pPr>
        <w:widowControl/>
        <w:shd w:val="clear"/>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pPr>
        <w:shd w:val="clear"/>
        <w:snapToGrid w:val="0"/>
        <w:spacing w:line="360" w:lineRule="auto"/>
        <w:rPr>
          <w:rFonts w:hint="eastAsia" w:ascii="仿宋" w:hAnsi="仿宋" w:eastAsia="仿宋" w:cs="仿宋"/>
          <w:color w:val="auto"/>
          <w:sz w:val="24"/>
          <w:highlight w:val="none"/>
        </w:rPr>
      </w:pPr>
    </w:p>
    <w:p>
      <w:pPr>
        <w:shd w:val="clea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shd w:val="clea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shd w:val="clea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shd w:val="clea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shd w:val="clea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shd w:val="clea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pPr>
        <w:shd w:val="clea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shd w:val="clear"/>
        <w:autoSpaceDE w:val="0"/>
        <w:autoSpaceDN w:val="0"/>
        <w:spacing w:line="360" w:lineRule="auto"/>
        <w:ind w:left="2"/>
        <w:jc w:val="left"/>
        <w:rPr>
          <w:rFonts w:hint="eastAsia" w:ascii="仿宋" w:hAnsi="仿宋" w:eastAsia="仿宋" w:cs="仿宋"/>
          <w:color w:val="auto"/>
          <w:kern w:val="0"/>
          <w:sz w:val="24"/>
          <w:highlight w:val="none"/>
          <w:lang w:val="zh-CN"/>
        </w:rPr>
      </w:pPr>
    </w:p>
    <w:p>
      <w:pPr>
        <w:shd w:val="clear"/>
        <w:autoSpaceDE w:val="0"/>
        <w:autoSpaceDN w:val="0"/>
        <w:spacing w:line="360" w:lineRule="auto"/>
        <w:ind w:left="2"/>
        <w:jc w:val="left"/>
        <w:rPr>
          <w:rFonts w:hint="eastAsia" w:ascii="仿宋" w:hAnsi="仿宋" w:eastAsia="仿宋" w:cs="仿宋"/>
          <w:color w:val="auto"/>
          <w:kern w:val="0"/>
          <w:sz w:val="24"/>
          <w:highlight w:val="none"/>
          <w:lang w:val="zh-CN"/>
        </w:rPr>
      </w:pPr>
    </w:p>
    <w:p>
      <w:pPr>
        <w:shd w:val="clear"/>
        <w:autoSpaceDE w:val="0"/>
        <w:autoSpaceDN w:val="0"/>
        <w:spacing w:line="360" w:lineRule="auto"/>
        <w:ind w:left="2"/>
        <w:jc w:val="left"/>
        <w:rPr>
          <w:rFonts w:hint="eastAsia" w:ascii="仿宋" w:hAnsi="仿宋" w:eastAsia="仿宋" w:cs="仿宋"/>
          <w:color w:val="auto"/>
          <w:kern w:val="0"/>
          <w:sz w:val="24"/>
          <w:highlight w:val="none"/>
          <w:lang w:val="zh-CN"/>
        </w:rPr>
      </w:pPr>
    </w:p>
    <w:p>
      <w:pPr>
        <w:shd w:val="clea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pPr>
        <w:shd w:val="clea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hd w:val="clear"/>
        <w:spacing w:line="360" w:lineRule="auto"/>
        <w:jc w:val="center"/>
        <w:rPr>
          <w:rFonts w:hint="eastAsia" w:ascii="仿宋" w:hAnsi="仿宋" w:eastAsia="仿宋" w:cs="仿宋"/>
          <w:b/>
          <w:bCs/>
          <w:color w:val="auto"/>
          <w:sz w:val="24"/>
          <w:highlight w:val="none"/>
        </w:rPr>
      </w:pPr>
    </w:p>
    <w:p>
      <w:pPr>
        <w:shd w:val="clea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jc w:val="center"/>
        <w:rPr>
          <w:rFonts w:hint="eastAsia" w:ascii="仿宋" w:hAnsi="仿宋" w:eastAsia="仿宋" w:cs="仿宋"/>
          <w:b/>
          <w:color w:val="auto"/>
          <w:sz w:val="32"/>
          <w:szCs w:val="32"/>
          <w:highlight w:val="none"/>
        </w:rPr>
      </w:pPr>
    </w:p>
    <w:p>
      <w:pPr>
        <w:shd w:val="clear"/>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pPr>
        <w:shd w:val="clea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bl>
    <w:p>
      <w:pPr>
        <w:shd w:val="clea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shd w:val="clear"/>
        <w:autoSpaceDE w:val="0"/>
        <w:autoSpaceDN w:val="0"/>
        <w:spacing w:line="360" w:lineRule="auto"/>
        <w:rPr>
          <w:rFonts w:hint="eastAsia" w:ascii="仿宋" w:hAnsi="仿宋" w:eastAsia="仿宋" w:cs="仿宋"/>
          <w:b/>
          <w:color w:val="auto"/>
          <w:sz w:val="24"/>
          <w:highlight w:val="none"/>
        </w:rPr>
      </w:pPr>
    </w:p>
    <w:p>
      <w:pPr>
        <w:shd w:val="clear"/>
        <w:autoSpaceDE w:val="0"/>
        <w:autoSpaceDN w:val="0"/>
        <w:spacing w:line="360" w:lineRule="auto"/>
        <w:rPr>
          <w:rFonts w:hint="eastAsia" w:ascii="仿宋" w:hAnsi="仿宋" w:eastAsia="仿宋" w:cs="仿宋"/>
          <w:color w:val="auto"/>
          <w:sz w:val="24"/>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shd w:val="clear"/>
        <w:ind w:firstLine="0"/>
        <w:jc w:val="both"/>
        <w:rPr>
          <w:rFonts w:hint="eastAsia" w:ascii="仿宋" w:hAnsi="仿宋" w:eastAsia="仿宋" w:cs="仿宋"/>
          <w:color w:val="auto"/>
          <w:highlight w:val="none"/>
        </w:rPr>
      </w:pPr>
    </w:p>
    <w:p>
      <w:pPr>
        <w:pageBreakBefore/>
        <w:shd w:val="clea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hd w:val="clear"/>
        <w:spacing w:line="360" w:lineRule="auto"/>
        <w:jc w:val="center"/>
        <w:rPr>
          <w:rFonts w:hint="eastAsia" w:ascii="仿宋" w:hAnsi="仿宋" w:eastAsia="仿宋" w:cs="仿宋"/>
          <w:color w:val="auto"/>
          <w:sz w:val="24"/>
          <w:highlight w:val="none"/>
        </w:rPr>
      </w:pPr>
    </w:p>
    <w:p>
      <w:pPr>
        <w:shd w:val="clea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hd w:val="clear"/>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160" w:type="dxa"/>
            <w:vAlign w:val="center"/>
          </w:tcPr>
          <w:p>
            <w:pPr>
              <w:keepNext/>
              <w:keepLines/>
              <w:shd w:val="clear"/>
              <w:tabs>
                <w:tab w:val="left" w:pos="432"/>
              </w:tabs>
              <w:snapToGrid w:val="0"/>
              <w:spacing w:line="360" w:lineRule="auto"/>
              <w:jc w:val="center"/>
              <w:textAlignment w:val="center"/>
              <w:rPr>
                <w:rFonts w:hint="eastAsia" w:ascii="仿宋" w:hAnsi="仿宋" w:eastAsia="仿宋" w:cs="仿宋"/>
                <w:color w:val="auto"/>
                <w:sz w:val="24"/>
                <w:highlight w:val="none"/>
              </w:rPr>
            </w:pPr>
          </w:p>
        </w:tc>
        <w:tc>
          <w:tcPr>
            <w:tcW w:w="234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080"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c>
          <w:tcPr>
            <w:tcW w:w="1332" w:type="dxa"/>
            <w:vAlign w:val="center"/>
          </w:tcPr>
          <w:p>
            <w:pPr>
              <w:keepNext/>
              <w:keepLines/>
              <w:shd w:val="clear"/>
              <w:tabs>
                <w:tab w:val="left" w:pos="432"/>
              </w:tabs>
              <w:spacing w:line="360" w:lineRule="auto"/>
              <w:jc w:val="center"/>
              <w:textAlignment w:val="center"/>
              <w:rPr>
                <w:rFonts w:hint="eastAsia" w:ascii="仿宋" w:hAnsi="仿宋" w:eastAsia="仿宋" w:cs="仿宋"/>
                <w:color w:val="auto"/>
                <w:sz w:val="24"/>
                <w:highlight w:val="none"/>
              </w:rPr>
            </w:pPr>
          </w:p>
        </w:tc>
      </w:tr>
    </w:tbl>
    <w:p>
      <w:pPr>
        <w:shd w:val="clea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shd w:val="clea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shd w:val="clea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4.6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shd w:val="clear"/>
        <w:autoSpaceDE w:val="0"/>
        <w:autoSpaceDN w:val="0"/>
        <w:spacing w:line="360" w:lineRule="auto"/>
        <w:ind w:firstLine="4560" w:firstLineChars="1900"/>
        <w:rPr>
          <w:rFonts w:hint="eastAsia" w:ascii="仿宋" w:hAnsi="仿宋" w:eastAsia="仿宋" w:cs="仿宋"/>
          <w:color w:val="auto"/>
          <w:kern w:val="0"/>
          <w:sz w:val="24"/>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shd w:val="clea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shd w:val="clea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
        <w:shd w:val="clear"/>
        <w:rPr>
          <w:rFonts w:hint="eastAsia" w:ascii="仿宋" w:hAnsi="仿宋" w:eastAsia="仿宋" w:cs="仿宋"/>
          <w:color w:val="auto"/>
          <w:highlight w:val="none"/>
        </w:rPr>
      </w:pPr>
    </w:p>
    <w:p>
      <w:pPr>
        <w:shd w:val="clea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shd w:val="clea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2"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c>
          <w:tcPr>
            <w:tcW w:w="553" w:type="dxa"/>
          </w:tcPr>
          <w:p>
            <w:pPr>
              <w:keepNext/>
              <w:keepLines/>
              <w:shd w:val="clear"/>
              <w:tabs>
                <w:tab w:val="left" w:pos="900"/>
              </w:tabs>
              <w:spacing w:line="360" w:lineRule="auto"/>
              <w:ind w:hanging="720"/>
              <w:outlineLvl w:val="2"/>
              <w:rPr>
                <w:rFonts w:hint="eastAsia" w:ascii="仿宋" w:hAnsi="仿宋" w:eastAsia="仿宋" w:cs="仿宋"/>
                <w:color w:val="auto"/>
                <w:sz w:val="24"/>
                <w:highlight w:val="none"/>
              </w:rPr>
            </w:pPr>
          </w:p>
        </w:tc>
      </w:tr>
    </w:tbl>
    <w:p>
      <w:pPr>
        <w:shd w:val="clea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hint="eastAsia" w:ascii="仿宋" w:hAnsi="仿宋" w:eastAsia="仿宋" w:cs="仿宋"/>
          <w:color w:val="auto"/>
          <w:kern w:val="0"/>
          <w:sz w:val="24"/>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pPr>
        <w:shd w:val="clea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
        <w:shd w:val="clear"/>
        <w:rPr>
          <w:rFonts w:hint="eastAsia" w:ascii="仿宋" w:hAnsi="仿宋" w:eastAsia="仿宋" w:cs="仿宋"/>
          <w:color w:val="auto"/>
          <w:highlight w:val="none"/>
        </w:rPr>
      </w:pPr>
    </w:p>
    <w:p>
      <w:pPr>
        <w:shd w:val="clea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vAlign w:val="center"/>
          </w:tcPr>
          <w:p>
            <w:pPr>
              <w:shd w:val="clear"/>
              <w:autoSpaceDE w:val="0"/>
              <w:autoSpaceDN w:val="0"/>
              <w:spacing w:line="360" w:lineRule="auto"/>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216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62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45"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2175"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216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62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45"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2175"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216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62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45"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2175"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r>
    </w:tbl>
    <w:p>
      <w:pPr>
        <w:shd w:val="clea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shd w:val="clea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shd w:val="clear"/>
              <w:tabs>
                <w:tab w:val="left" w:pos="432"/>
              </w:tabs>
              <w:autoSpaceDE w:val="0"/>
              <w:autoSpaceDN w:val="0"/>
              <w:spacing w:line="240" w:lineRule="exact"/>
              <w:ind w:left="432" w:hanging="432"/>
              <w:jc w:val="center"/>
              <w:outlineLvl w:val="0"/>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shd w:val="clear"/>
              <w:tabs>
                <w:tab w:val="left" w:pos="432"/>
              </w:tabs>
              <w:autoSpaceDE w:val="0"/>
              <w:autoSpaceDN w:val="0"/>
              <w:spacing w:line="240" w:lineRule="exact"/>
              <w:ind w:left="432" w:hanging="432"/>
              <w:jc w:val="center"/>
              <w:outlineLvl w:val="0"/>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shd w:val="clear"/>
              <w:tabs>
                <w:tab w:val="left" w:pos="432"/>
              </w:tabs>
              <w:autoSpaceDE w:val="0"/>
              <w:autoSpaceDN w:val="0"/>
              <w:spacing w:line="240" w:lineRule="exact"/>
              <w:ind w:left="432" w:hanging="432"/>
              <w:jc w:val="center"/>
              <w:outlineLvl w:val="0"/>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240" w:lineRule="exact"/>
              <w:ind w:left="432" w:hanging="432"/>
              <w:outlineLvl w:val="0"/>
              <w:rPr>
                <w:rFonts w:hint="eastAsia" w:ascii="仿宋" w:hAnsi="仿宋" w:eastAsia="仿宋" w:cs="仿宋"/>
                <w:color w:val="auto"/>
                <w:sz w:val="24"/>
                <w:highlight w:val="none"/>
              </w:rPr>
            </w:pPr>
          </w:p>
        </w:tc>
      </w:tr>
    </w:tbl>
    <w:p>
      <w:pPr>
        <w:shd w:val="clear"/>
        <w:spacing w:line="360" w:lineRule="auto"/>
        <w:ind w:firstLine="480" w:firstLineChars="200"/>
        <w:rPr>
          <w:rFonts w:hint="eastAsia" w:ascii="仿宋" w:hAnsi="仿宋" w:eastAsia="仿宋" w:cs="仿宋"/>
          <w:color w:val="auto"/>
          <w:sz w:val="24"/>
          <w:szCs w:val="20"/>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hint="eastAsia" w:ascii="仿宋" w:hAnsi="仿宋" w:eastAsia="仿宋" w:cs="仿宋"/>
          <w:b/>
          <w:color w:val="auto"/>
          <w:sz w:val="30"/>
          <w:szCs w:val="30"/>
          <w:highlight w:val="none"/>
        </w:rPr>
      </w:pPr>
    </w:p>
    <w:p>
      <w:pPr>
        <w:shd w:val="clear"/>
        <w:spacing w:line="360" w:lineRule="auto"/>
        <w:rPr>
          <w:rFonts w:hint="eastAsia" w:ascii="仿宋" w:hAnsi="仿宋" w:eastAsia="仿宋" w:cs="仿宋"/>
          <w:b/>
          <w:color w:val="auto"/>
          <w:sz w:val="30"/>
          <w:szCs w:val="30"/>
          <w:highlight w:val="none"/>
        </w:rPr>
      </w:pPr>
    </w:p>
    <w:p>
      <w:pPr>
        <w:shd w:val="clear"/>
        <w:spacing w:line="360" w:lineRule="auto"/>
        <w:rPr>
          <w:rFonts w:hint="eastAsia" w:ascii="仿宋" w:hAnsi="仿宋" w:eastAsia="仿宋" w:cs="仿宋"/>
          <w:b/>
          <w:color w:val="auto"/>
          <w:sz w:val="30"/>
          <w:szCs w:val="30"/>
          <w:highlight w:val="none"/>
        </w:rPr>
      </w:pPr>
    </w:p>
    <w:p>
      <w:pPr>
        <w:shd w:val="clea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hd w:val="clear"/>
        <w:spacing w:line="336" w:lineRule="auto"/>
        <w:ind w:firstLine="3600" w:firstLineChars="1500"/>
        <w:rPr>
          <w:rFonts w:hint="eastAsia" w:ascii="仿宋" w:hAnsi="仿宋" w:eastAsia="仿宋" w:cs="仿宋"/>
          <w:color w:val="auto"/>
          <w:sz w:val="24"/>
          <w:highlight w:val="none"/>
        </w:rPr>
      </w:pPr>
    </w:p>
    <w:p>
      <w:pPr>
        <w:pStyle w:val="2"/>
        <w:shd w:val="clear"/>
        <w:rPr>
          <w:rFonts w:hint="eastAsia" w:ascii="仿宋" w:hAnsi="仿宋" w:eastAsia="仿宋" w:cs="仿宋"/>
          <w:color w:val="auto"/>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hd w:val="clea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pPr>
        <w:shd w:val="clea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shd w:val="clear"/>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shd w:val="clear"/>
              <w:tabs>
                <w:tab w:val="left" w:pos="432"/>
              </w:tabs>
              <w:autoSpaceDE w:val="0"/>
              <w:autoSpaceDN w:val="0"/>
              <w:spacing w:line="360" w:lineRule="auto"/>
              <w:ind w:hanging="432"/>
              <w:jc w:val="center"/>
              <w:textAlignment w:val="center"/>
              <w:outlineLvl w:val="0"/>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shd w:val="clear"/>
              <w:tabs>
                <w:tab w:val="left" w:pos="432"/>
              </w:tabs>
              <w:autoSpaceDE w:val="0"/>
              <w:autoSpaceDN w:val="0"/>
              <w:spacing w:line="360" w:lineRule="auto"/>
              <w:ind w:hanging="432"/>
              <w:jc w:val="center"/>
              <w:outlineLvl w:val="0"/>
              <w:rPr>
                <w:rFonts w:hint="eastAsia" w:ascii="仿宋" w:hAnsi="仿宋" w:eastAsia="仿宋" w:cs="仿宋"/>
                <w:color w:val="auto"/>
                <w:sz w:val="24"/>
                <w:highlight w:val="none"/>
              </w:rPr>
            </w:pPr>
          </w:p>
        </w:tc>
      </w:tr>
    </w:tbl>
    <w:p>
      <w:pPr>
        <w:shd w:val="clea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2"/>
        <w:shd w:val="clear"/>
        <w:rPr>
          <w:rFonts w:hint="eastAsia" w:ascii="仿宋" w:hAnsi="仿宋" w:eastAsia="仿宋" w:cs="仿宋"/>
          <w:color w:val="auto"/>
          <w:highlight w:val="none"/>
        </w:rPr>
      </w:pPr>
    </w:p>
    <w:p>
      <w:pPr>
        <w:shd w:val="clea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jc w:val="center"/>
              <w:textAlignment w:val="center"/>
              <w:outlineLvl w:val="0"/>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jc w:val="center"/>
              <w:textAlignment w:val="center"/>
              <w:outlineLvl w:val="0"/>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autoSpaceDE w:val="0"/>
              <w:autoSpaceDN w:val="0"/>
              <w:spacing w:line="360" w:lineRule="auto"/>
              <w:ind w:left="432" w:hanging="432"/>
              <w:textAlignment w:val="center"/>
              <w:outlineLvl w:val="0"/>
              <w:rPr>
                <w:rFonts w:hint="eastAsia" w:ascii="仿宋" w:hAnsi="仿宋" w:eastAsia="仿宋" w:cs="仿宋"/>
                <w:color w:val="auto"/>
                <w:sz w:val="24"/>
                <w:highlight w:val="none"/>
              </w:rPr>
            </w:pPr>
          </w:p>
        </w:tc>
      </w:tr>
    </w:tbl>
    <w:p>
      <w:pPr>
        <w:shd w:val="clea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2"/>
        <w:shd w:val="clear"/>
        <w:rPr>
          <w:rFonts w:hint="eastAsia" w:ascii="仿宋" w:hAnsi="仿宋" w:eastAsia="仿宋" w:cs="仿宋"/>
          <w:color w:val="auto"/>
          <w:highlight w:val="none"/>
        </w:rPr>
      </w:pPr>
    </w:p>
    <w:p>
      <w:pPr>
        <w:shd w:val="clea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hd w:val="clear"/>
        <w:spacing w:line="360" w:lineRule="auto"/>
        <w:ind w:firstLine="480" w:firstLineChars="200"/>
        <w:rPr>
          <w:rFonts w:hint="eastAsia" w:ascii="仿宋" w:hAnsi="仿宋" w:eastAsia="仿宋" w:cs="仿宋"/>
          <w:color w:val="auto"/>
          <w:sz w:val="24"/>
          <w:szCs w:val="20"/>
          <w:highlight w:val="none"/>
        </w:rPr>
      </w:pP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napToGrid w:val="0"/>
        <w:spacing w:line="360" w:lineRule="auto"/>
        <w:ind w:firstLine="6907" w:firstLineChars="2150"/>
        <w:rPr>
          <w:rFonts w:hint="eastAsia" w:ascii="仿宋" w:hAnsi="仿宋" w:eastAsia="仿宋" w:cs="仿宋"/>
          <w:b/>
          <w:bCs/>
          <w:color w:val="auto"/>
          <w:sz w:val="32"/>
          <w:szCs w:val="32"/>
          <w:highlight w:val="none"/>
        </w:rPr>
      </w:pPr>
    </w:p>
    <w:p>
      <w:pPr>
        <w:shd w:val="clear"/>
        <w:snapToGrid w:val="0"/>
        <w:spacing w:line="360" w:lineRule="auto"/>
        <w:ind w:right="960"/>
        <w:rPr>
          <w:rFonts w:hint="eastAsia" w:ascii="仿宋" w:hAnsi="仿宋" w:eastAsia="仿宋" w:cs="仿宋"/>
          <w:color w:val="auto"/>
          <w:kern w:val="0"/>
          <w:sz w:val="24"/>
          <w:highlight w:val="none"/>
          <w:lang w:val="zh-CN"/>
        </w:rPr>
      </w:pPr>
    </w:p>
    <w:p>
      <w:pPr>
        <w:shd w:val="clea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hd w:val="clear"/>
        <w:spacing w:line="360" w:lineRule="auto"/>
        <w:rPr>
          <w:rFonts w:hint="eastAsia" w:ascii="仿宋" w:hAnsi="仿宋" w:eastAsia="仿宋" w:cs="仿宋"/>
          <w:color w:val="auto"/>
          <w:sz w:val="18"/>
          <w:szCs w:val="18"/>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rPr>
          <w:rFonts w:hint="eastAsia" w:ascii="仿宋" w:hAnsi="仿宋" w:eastAsia="仿宋" w:cs="仿宋"/>
          <w:b/>
          <w:bCs/>
          <w:color w:val="auto"/>
          <w:sz w:val="18"/>
          <w:szCs w:val="18"/>
          <w:highlight w:val="none"/>
        </w:rPr>
      </w:pPr>
    </w:p>
    <w:p>
      <w:pPr>
        <w:shd w:val="clear"/>
        <w:spacing w:line="360" w:lineRule="auto"/>
        <w:rPr>
          <w:rFonts w:hint="eastAsia" w:ascii="仿宋" w:hAnsi="仿宋" w:eastAsia="仿宋" w:cs="仿宋"/>
          <w:b/>
          <w:bCs/>
          <w:color w:val="auto"/>
          <w:sz w:val="32"/>
          <w:szCs w:val="32"/>
          <w:highlight w:val="none"/>
        </w:rPr>
      </w:pPr>
    </w:p>
    <w:p>
      <w:pPr>
        <w:shd w:val="clear"/>
        <w:spacing w:line="360" w:lineRule="auto"/>
        <w:rPr>
          <w:rFonts w:hint="eastAsia" w:ascii="仿宋" w:hAnsi="仿宋" w:eastAsia="仿宋" w:cs="仿宋"/>
          <w:b/>
          <w:bCs/>
          <w:color w:val="auto"/>
          <w:sz w:val="32"/>
          <w:szCs w:val="32"/>
          <w:highlight w:val="none"/>
        </w:rPr>
      </w:pPr>
    </w:p>
    <w:p>
      <w:pPr>
        <w:shd w:val="clear"/>
        <w:spacing w:line="360" w:lineRule="auto"/>
        <w:jc w:val="center"/>
        <w:rPr>
          <w:rFonts w:hint="eastAsia" w:ascii="仿宋" w:hAnsi="仿宋" w:eastAsia="仿宋" w:cs="仿宋"/>
          <w:b/>
          <w:bCs/>
          <w:color w:val="auto"/>
          <w:sz w:val="32"/>
          <w:szCs w:val="32"/>
          <w:highlight w:val="none"/>
        </w:rPr>
      </w:pPr>
    </w:p>
    <w:p>
      <w:pPr>
        <w:shd w:val="clea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hd w:val="clear"/>
        <w:snapToGrid w:val="0"/>
        <w:spacing w:line="360" w:lineRule="auto"/>
        <w:ind w:right="960"/>
        <w:jc w:val="right"/>
        <w:rPr>
          <w:rFonts w:hint="eastAsia" w:ascii="仿宋" w:hAnsi="仿宋" w:eastAsia="仿宋" w:cs="仿宋"/>
          <w:color w:val="auto"/>
          <w:kern w:val="0"/>
          <w:sz w:val="24"/>
          <w:highlight w:val="none"/>
          <w:lang w:val="zh-CN"/>
        </w:rPr>
      </w:pPr>
    </w:p>
    <w:p>
      <w:pPr>
        <w:shd w:val="clear"/>
        <w:snapToGrid w:val="0"/>
        <w:spacing w:line="360" w:lineRule="auto"/>
        <w:ind w:right="960"/>
        <w:jc w:val="right"/>
        <w:rPr>
          <w:rFonts w:hint="eastAsia" w:ascii="仿宋" w:hAnsi="仿宋" w:eastAsia="仿宋" w:cs="仿宋"/>
          <w:color w:val="auto"/>
          <w:kern w:val="0"/>
          <w:sz w:val="24"/>
          <w:highlight w:val="none"/>
          <w:lang w:val="zh-CN"/>
        </w:rPr>
      </w:pPr>
    </w:p>
    <w:p>
      <w:pPr>
        <w:shd w:val="clear"/>
        <w:snapToGrid w:val="0"/>
        <w:spacing w:line="360" w:lineRule="auto"/>
        <w:ind w:right="960"/>
        <w:jc w:val="right"/>
        <w:rPr>
          <w:rFonts w:hint="eastAsia" w:ascii="仿宋" w:hAnsi="仿宋" w:eastAsia="仿宋" w:cs="仿宋"/>
          <w:color w:val="auto"/>
          <w:kern w:val="0"/>
          <w:sz w:val="24"/>
          <w:highlight w:val="none"/>
          <w:lang w:val="zh-CN"/>
        </w:rPr>
      </w:pPr>
    </w:p>
    <w:p>
      <w:pPr>
        <w:shd w:val="clear"/>
        <w:snapToGrid w:val="0"/>
        <w:spacing w:line="360" w:lineRule="auto"/>
        <w:ind w:right="960"/>
        <w:jc w:val="right"/>
        <w:rPr>
          <w:rFonts w:hint="eastAsia" w:ascii="仿宋" w:hAnsi="仿宋" w:eastAsia="仿宋" w:cs="仿宋"/>
          <w:color w:val="auto"/>
          <w:kern w:val="0"/>
          <w:sz w:val="24"/>
          <w:highlight w:val="none"/>
          <w:lang w:val="zh-CN"/>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jc w:val="center"/>
        <w:rPr>
          <w:rFonts w:hint="eastAsia" w:ascii="仿宋" w:hAnsi="仿宋" w:eastAsia="仿宋" w:cs="仿宋"/>
          <w:b/>
          <w:bCs/>
          <w:color w:val="auto"/>
          <w:sz w:val="32"/>
          <w:szCs w:val="32"/>
          <w:highlight w:val="none"/>
        </w:rPr>
      </w:pPr>
    </w:p>
    <w:p>
      <w:pPr>
        <w:shd w:val="clear"/>
        <w:spacing w:line="360" w:lineRule="auto"/>
        <w:jc w:val="center"/>
        <w:rPr>
          <w:rFonts w:hint="eastAsia" w:ascii="仿宋" w:hAnsi="仿宋" w:eastAsia="仿宋" w:cs="仿宋"/>
          <w:b/>
          <w:bCs/>
          <w:color w:val="auto"/>
          <w:sz w:val="32"/>
          <w:szCs w:val="32"/>
          <w:highlight w:val="none"/>
        </w:rPr>
      </w:pPr>
    </w:p>
    <w:p>
      <w:pPr>
        <w:shd w:val="clear"/>
        <w:spacing w:line="360" w:lineRule="auto"/>
        <w:jc w:val="center"/>
        <w:rPr>
          <w:rFonts w:hint="eastAsia" w:ascii="仿宋" w:hAnsi="仿宋" w:eastAsia="仿宋" w:cs="仿宋"/>
          <w:b/>
          <w:bCs/>
          <w:color w:val="auto"/>
          <w:sz w:val="32"/>
          <w:szCs w:val="32"/>
          <w:highlight w:val="none"/>
        </w:rPr>
      </w:pPr>
    </w:p>
    <w:p>
      <w:pPr>
        <w:shd w:val="clear"/>
        <w:spacing w:line="360" w:lineRule="auto"/>
        <w:jc w:val="center"/>
        <w:rPr>
          <w:rFonts w:hint="eastAsia" w:ascii="仿宋" w:hAnsi="仿宋" w:eastAsia="仿宋" w:cs="仿宋"/>
          <w:b/>
          <w:bCs/>
          <w:color w:val="auto"/>
          <w:sz w:val="32"/>
          <w:szCs w:val="32"/>
          <w:highlight w:val="none"/>
        </w:rPr>
      </w:pPr>
    </w:p>
    <w:p>
      <w:pPr>
        <w:shd w:val="clea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shd w:val="clear"/>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shd w:val="clea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shd w:val="clea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shd w:val="clea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shd w:val="clea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hd w:val="clea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keepNext/>
              <w:keepLines/>
              <w:shd w:val="clear"/>
              <w:tabs>
                <w:tab w:val="left" w:pos="432"/>
              </w:tabs>
              <w:suppressAutoHyphens/>
              <w:autoSpaceDE w:val="0"/>
              <w:autoSpaceDN w:val="0"/>
              <w:spacing w:line="360" w:lineRule="auto"/>
              <w:ind w:hanging="432"/>
              <w:outlineLvl w:val="0"/>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keepNext/>
              <w:keepLines/>
              <w:shd w:val="clear"/>
              <w:tabs>
                <w:tab w:val="left" w:pos="7"/>
                <w:tab w:val="left" w:pos="432"/>
              </w:tabs>
              <w:suppressAutoHyphens/>
              <w:autoSpaceDE w:val="0"/>
              <w:autoSpaceDN w:val="0"/>
              <w:spacing w:line="360" w:lineRule="auto"/>
              <w:ind w:hanging="432"/>
              <w:outlineLvl w:val="0"/>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keepNext/>
              <w:keepLines/>
              <w:shd w:val="clear"/>
              <w:tabs>
                <w:tab w:val="left" w:pos="432"/>
              </w:tabs>
              <w:suppressAutoHyphens/>
              <w:autoSpaceDE w:val="0"/>
              <w:autoSpaceDN w:val="0"/>
              <w:spacing w:line="360" w:lineRule="auto"/>
              <w:ind w:hanging="432"/>
              <w:outlineLvl w:val="0"/>
              <w:rPr>
                <w:rFonts w:hint="eastAsia" w:ascii="仿宋" w:hAnsi="仿宋" w:eastAsia="仿宋" w:cs="仿宋"/>
                <w:color w:val="auto"/>
                <w:sz w:val="24"/>
                <w:highlight w:val="none"/>
              </w:rPr>
            </w:pPr>
          </w:p>
        </w:tc>
      </w:tr>
    </w:tbl>
    <w:p>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shd w:val="clea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shd w:val="clea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hd w:val="clear"/>
        <w:spacing w:line="360" w:lineRule="auto"/>
        <w:ind w:firstLine="480" w:firstLineChars="200"/>
        <w:rPr>
          <w:rFonts w:hint="eastAsia" w:ascii="仿宋" w:hAnsi="仿宋" w:eastAsia="仿宋" w:cs="仿宋"/>
          <w:color w:val="auto"/>
          <w:sz w:val="24"/>
          <w:szCs w:val="20"/>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hd w:val="clea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hd w:val="clear"/>
        <w:spacing w:line="360" w:lineRule="auto"/>
        <w:jc w:val="center"/>
        <w:rPr>
          <w:rFonts w:hint="eastAsia" w:ascii="仿宋" w:hAnsi="仿宋" w:eastAsia="仿宋" w:cs="仿宋"/>
          <w:color w:val="auto"/>
          <w:sz w:val="24"/>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hd w:val="clear"/>
        <w:spacing w:line="360" w:lineRule="auto"/>
        <w:jc w:val="center"/>
        <w:rPr>
          <w:rFonts w:hint="eastAsia" w:ascii="仿宋" w:hAnsi="仿宋" w:eastAsia="仿宋" w:cs="仿宋"/>
          <w:b/>
          <w:bCs/>
          <w:color w:val="auto"/>
          <w:sz w:val="30"/>
          <w:szCs w:val="30"/>
          <w:highlight w:val="none"/>
        </w:rPr>
      </w:pPr>
    </w:p>
    <w:p>
      <w:pPr>
        <w:shd w:val="clear"/>
        <w:spacing w:line="360" w:lineRule="auto"/>
        <w:jc w:val="center"/>
        <w:rPr>
          <w:rFonts w:hint="eastAsia" w:ascii="仿宋" w:hAnsi="仿宋" w:eastAsia="仿宋" w:cs="仿宋"/>
          <w:b/>
          <w:bCs/>
          <w:color w:val="auto"/>
          <w:sz w:val="30"/>
          <w:szCs w:val="30"/>
          <w:highlight w:val="none"/>
        </w:rPr>
      </w:pPr>
    </w:p>
    <w:p>
      <w:pPr>
        <w:shd w:val="clear"/>
        <w:spacing w:line="360" w:lineRule="auto"/>
        <w:jc w:val="center"/>
        <w:rPr>
          <w:rFonts w:hint="eastAsia" w:ascii="仿宋" w:hAnsi="仿宋" w:eastAsia="仿宋" w:cs="仿宋"/>
          <w:b/>
          <w:bCs/>
          <w:color w:val="auto"/>
          <w:sz w:val="24"/>
          <w:highlight w:val="none"/>
        </w:rPr>
      </w:pPr>
    </w:p>
    <w:p>
      <w:pPr>
        <w:shd w:val="clear"/>
        <w:spacing w:line="360" w:lineRule="auto"/>
        <w:jc w:val="center"/>
        <w:rPr>
          <w:rFonts w:hint="eastAsia" w:ascii="仿宋" w:hAnsi="仿宋" w:eastAsia="仿宋" w:cs="仿宋"/>
          <w:b/>
          <w:bCs/>
          <w:color w:val="auto"/>
          <w:sz w:val="24"/>
          <w:highlight w:val="none"/>
        </w:rPr>
      </w:pPr>
    </w:p>
    <w:p>
      <w:pPr>
        <w:shd w:val="clea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hd w:val="clear"/>
        <w:spacing w:line="360" w:lineRule="auto"/>
        <w:rPr>
          <w:rFonts w:hint="eastAsia" w:ascii="仿宋" w:hAnsi="仿宋" w:eastAsia="仿宋" w:cs="仿宋"/>
          <w:color w:val="auto"/>
          <w:sz w:val="24"/>
          <w:highlight w:val="none"/>
        </w:rPr>
      </w:pPr>
    </w:p>
    <w:p>
      <w:pPr>
        <w:pStyle w:val="2"/>
        <w:shd w:val="clear"/>
        <w:rPr>
          <w:rFonts w:hint="eastAsia" w:ascii="仿宋" w:hAnsi="仿宋" w:eastAsia="仿宋" w:cs="仿宋"/>
          <w:color w:val="auto"/>
          <w:highlight w:val="none"/>
        </w:rPr>
      </w:pPr>
    </w:p>
    <w:p>
      <w:pPr>
        <w:shd w:val="clea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hd w:val="clea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
        <w:shd w:val="clear"/>
        <w:rPr>
          <w:rFonts w:hint="eastAsia" w:ascii="仿宋" w:hAnsi="仿宋" w:eastAsia="仿宋" w:cs="仿宋"/>
          <w:color w:val="auto"/>
          <w:highlight w:val="none"/>
        </w:rPr>
        <w:sectPr>
          <w:headerReference r:id="rId15" w:type="first"/>
          <w:footerReference r:id="rId17" w:type="first"/>
          <w:headerReference r:id="rId14" w:type="default"/>
          <w:footerReference r:id="rId16"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hd w:val="clear"/>
        <w:spacing w:line="360" w:lineRule="auto"/>
        <w:jc w:val="center"/>
        <w:outlineLvl w:val="0"/>
        <w:rPr>
          <w:rFonts w:hint="eastAsia" w:ascii="仿宋" w:hAnsi="仿宋" w:eastAsia="仿宋" w:cs="仿宋"/>
          <w:b/>
          <w:color w:val="auto"/>
          <w:kern w:val="0"/>
          <w:sz w:val="36"/>
          <w:szCs w:val="36"/>
          <w:highlight w:val="none"/>
        </w:rPr>
      </w:pP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jc w:val="center"/>
        <w:rPr>
          <w:rFonts w:hint="eastAsia" w:ascii="仿宋" w:hAnsi="仿宋" w:eastAsia="仿宋" w:cs="仿宋"/>
          <w:b/>
          <w:color w:val="auto"/>
          <w:kern w:val="0"/>
          <w:sz w:val="32"/>
          <w:szCs w:val="32"/>
          <w:highlight w:val="none"/>
        </w:rPr>
      </w:pPr>
    </w:p>
    <w:p>
      <w:pPr>
        <w:shd w:val="clear"/>
        <w:snapToGrid w:val="0"/>
        <w:spacing w:line="360" w:lineRule="auto"/>
        <w:ind w:right="480"/>
        <w:rPr>
          <w:rFonts w:hint="eastAsia" w:ascii="仿宋" w:hAnsi="仿宋" w:eastAsia="仿宋" w:cs="仿宋"/>
          <w:b/>
          <w:color w:val="auto"/>
          <w:kern w:val="0"/>
          <w:sz w:val="32"/>
          <w:szCs w:val="32"/>
          <w:highlight w:val="none"/>
        </w:r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hd w:val="clea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hd w:val="clea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hd w:val="clea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hd w:val="clea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hd w:val="clea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eepNext/>
              <w:keepLines/>
              <w:shd w:val="clear"/>
              <w:tabs>
                <w:tab w:val="left" w:pos="432"/>
              </w:tabs>
              <w:spacing w:line="360" w:lineRule="auto"/>
              <w:ind w:hanging="432"/>
              <w:jc w:val="center"/>
              <w:outlineLvl w:val="0"/>
              <w:rPr>
                <w:rFonts w:hint="eastAsia" w:ascii="仿宋" w:hAnsi="仿宋" w:eastAsia="仿宋" w:cs="仿宋"/>
                <w:b/>
                <w:color w:val="auto"/>
                <w:sz w:val="24"/>
                <w:highlight w:val="none"/>
              </w:rPr>
            </w:pPr>
          </w:p>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eepNext/>
              <w:keepLines/>
              <w:shd w:val="clear"/>
              <w:tabs>
                <w:tab w:val="left" w:pos="432"/>
              </w:tabs>
              <w:spacing w:line="360" w:lineRule="auto"/>
              <w:ind w:hanging="432"/>
              <w:jc w:val="center"/>
              <w:outlineLvl w:val="0"/>
              <w:rPr>
                <w:rFonts w:hint="eastAsia" w:ascii="仿宋" w:hAnsi="仿宋" w:eastAsia="仿宋" w:cs="仿宋"/>
                <w:b/>
                <w:color w:val="auto"/>
                <w:sz w:val="24"/>
                <w:highlight w:val="none"/>
              </w:rPr>
            </w:pPr>
          </w:p>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eepNext/>
              <w:keepLines/>
              <w:shd w:val="clear"/>
              <w:tabs>
                <w:tab w:val="left" w:pos="432"/>
              </w:tabs>
              <w:spacing w:line="360" w:lineRule="auto"/>
              <w:ind w:hanging="432"/>
              <w:jc w:val="center"/>
              <w:outlineLvl w:val="0"/>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184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1417"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184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3118"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993" w:type="dxa"/>
            <w:vAlign w:val="center"/>
          </w:tcPr>
          <w:p>
            <w:pPr>
              <w:keepNext/>
              <w:keepLines/>
              <w:shd w:val="clear"/>
              <w:tabs>
                <w:tab w:val="left" w:pos="432"/>
              </w:tabs>
              <w:snapToGrid w:val="0"/>
              <w:spacing w:line="360" w:lineRule="auto"/>
              <w:ind w:hanging="432"/>
              <w:jc w:val="center"/>
              <w:outlineLvl w:val="0"/>
              <w:rPr>
                <w:rFonts w:hint="eastAsia" w:ascii="仿宋" w:hAnsi="仿宋" w:eastAsia="仿宋" w:cs="仿宋"/>
                <w:color w:val="auto"/>
                <w:sz w:val="24"/>
                <w:highlight w:val="none"/>
              </w:rPr>
            </w:pPr>
          </w:p>
        </w:tc>
        <w:tc>
          <w:tcPr>
            <w:tcW w:w="155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1984"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c>
          <w:tcPr>
            <w:tcW w:w="3119" w:type="dxa"/>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eepNext/>
              <w:keepLines/>
              <w:shd w:val="clear"/>
              <w:tabs>
                <w:tab w:val="left" w:pos="432"/>
              </w:tabs>
              <w:spacing w:line="360" w:lineRule="auto"/>
              <w:ind w:hanging="432"/>
              <w:jc w:val="center"/>
              <w:outlineLvl w:val="0"/>
              <w:rPr>
                <w:rFonts w:hint="eastAsia" w:ascii="仿宋" w:hAnsi="仿宋" w:eastAsia="仿宋" w:cs="仿宋"/>
                <w:color w:val="auto"/>
                <w:sz w:val="24"/>
                <w:highlight w:val="none"/>
              </w:rPr>
            </w:pPr>
          </w:p>
        </w:tc>
      </w:tr>
    </w:tbl>
    <w:p>
      <w:pPr>
        <w:shd w:val="clear"/>
        <w:snapToGrid w:val="0"/>
        <w:spacing w:line="360" w:lineRule="auto"/>
        <w:ind w:left="480"/>
        <w:rPr>
          <w:rFonts w:hint="eastAsia" w:ascii="仿宋" w:hAnsi="仿宋" w:eastAsia="仿宋" w:cs="仿宋"/>
          <w:b/>
          <w:color w:val="auto"/>
          <w:kern w:val="0"/>
          <w:sz w:val="24"/>
          <w:highlight w:val="none"/>
          <w:lang w:val="zh-CN"/>
        </w:rPr>
      </w:pPr>
    </w:p>
    <w:p>
      <w:pPr>
        <w:shd w:val="clea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hd w:val="clea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hd w:val="clea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hd w:val="clea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8" w:name="_Hlk101259491"/>
      <w:r>
        <w:rPr>
          <w:rFonts w:hint="eastAsia" w:ascii="仿宋" w:hAnsi="仿宋" w:eastAsia="仿宋" w:cs="仿宋"/>
          <w:color w:val="auto"/>
          <w:sz w:val="32"/>
          <w:szCs w:val="32"/>
          <w:highlight w:val="none"/>
        </w:rPr>
        <w:t>（如果有）</w:t>
      </w:r>
      <w:bookmarkEnd w:id="188"/>
    </w:p>
    <w:p>
      <w:pPr>
        <w:widowControl/>
        <w:shd w:val="clea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2"/>
        <w:shd w:val="clear"/>
        <w:rPr>
          <w:rFonts w:hint="eastAsia" w:ascii="仿宋" w:hAnsi="仿宋" w:eastAsia="仿宋" w:cs="仿宋"/>
          <w:b/>
          <w:color w:val="auto"/>
          <w:highlight w:val="none"/>
        </w:rPr>
      </w:pPr>
    </w:p>
    <w:p>
      <w:pPr>
        <w:pStyle w:val="3"/>
        <w:shd w:val="clear"/>
        <w:rPr>
          <w:rFonts w:hint="eastAsia" w:ascii="仿宋" w:hAnsi="仿宋" w:eastAsia="仿宋" w:cs="仿宋"/>
          <w:b/>
          <w:color w:val="auto"/>
          <w:sz w:val="24"/>
          <w:highlight w:val="none"/>
        </w:rPr>
      </w:pPr>
    </w:p>
    <w:p>
      <w:pPr>
        <w:shd w:val="clear"/>
        <w:rPr>
          <w:rFonts w:hint="eastAsia" w:ascii="仿宋" w:hAnsi="仿宋" w:eastAsia="仿宋" w:cs="仿宋"/>
          <w:b/>
          <w:color w:val="auto"/>
          <w:sz w:val="24"/>
          <w:highlight w:val="none"/>
        </w:rPr>
      </w:pPr>
    </w:p>
    <w:p>
      <w:pPr>
        <w:pStyle w:val="2"/>
        <w:shd w:val="clear"/>
        <w:rPr>
          <w:rFonts w:hint="eastAsia" w:ascii="仿宋" w:hAnsi="仿宋" w:eastAsia="仿宋" w:cs="仿宋"/>
          <w:b/>
          <w:color w:val="auto"/>
          <w:highlight w:val="none"/>
        </w:rPr>
      </w:pPr>
    </w:p>
    <w:p>
      <w:pPr>
        <w:pStyle w:val="3"/>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widowControl/>
        <w:shd w:val="clear"/>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pPr>
        <w:widowControl/>
        <w:shd w:val="clear"/>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pPr>
        <w:pStyle w:val="2"/>
        <w:widowControl/>
        <w:shd w:val="clear"/>
        <w:spacing w:line="360" w:lineRule="auto"/>
        <w:ind w:firstLine="120" w:firstLineChars="50"/>
        <w:rPr>
          <w:rFonts w:hint="eastAsia" w:ascii="仿宋" w:hAnsi="仿宋" w:eastAsia="仿宋" w:cs="仿宋"/>
          <w:b/>
          <w:color w:val="auto"/>
          <w:highlight w:val="none"/>
        </w:rPr>
      </w:pPr>
    </w:p>
    <w:p>
      <w:pPr>
        <w:pStyle w:val="3"/>
        <w:shd w:val="clear"/>
        <w:spacing w:line="360" w:lineRule="auto"/>
        <w:ind w:left="0" w:firstLine="120" w:firstLineChars="50"/>
        <w:jc w:val="left"/>
        <w:rPr>
          <w:rFonts w:hint="eastAsia" w:ascii="仿宋" w:hAnsi="仿宋" w:eastAsia="仿宋" w:cs="仿宋"/>
          <w:b/>
          <w:color w:val="auto"/>
          <w:sz w:val="24"/>
          <w:highlight w:val="none"/>
        </w:rPr>
      </w:pPr>
    </w:p>
    <w:p>
      <w:pPr>
        <w:pStyle w:val="691"/>
        <w:keepNext w:val="0"/>
        <w:pageBreakBefore w:val="0"/>
        <w:shd w:val="clear"/>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hd w:val="clear"/>
        <w:spacing w:line="360" w:lineRule="auto"/>
        <w:ind w:right="420" w:firstLine="3614" w:firstLineChars="1000"/>
        <w:rPr>
          <w:rFonts w:hint="eastAsia" w:ascii="仿宋" w:hAnsi="仿宋" w:eastAsia="仿宋" w:cs="仿宋"/>
          <w:b/>
          <w:color w:val="auto"/>
          <w:kern w:val="0"/>
          <w:sz w:val="36"/>
          <w:szCs w:val="36"/>
          <w:highlight w:val="none"/>
        </w:rPr>
      </w:pPr>
    </w:p>
    <w:p>
      <w:pPr>
        <w:shd w:val="clear"/>
        <w:spacing w:line="360" w:lineRule="auto"/>
        <w:ind w:right="420" w:firstLine="3614" w:firstLineChars="1000"/>
        <w:rPr>
          <w:rFonts w:hint="eastAsia" w:ascii="仿宋" w:hAnsi="仿宋" w:eastAsia="仿宋" w:cs="仿宋"/>
          <w:b/>
          <w:color w:val="auto"/>
          <w:kern w:val="0"/>
          <w:sz w:val="36"/>
          <w:szCs w:val="36"/>
          <w:highlight w:val="none"/>
        </w:rPr>
      </w:pPr>
    </w:p>
    <w:p>
      <w:pPr>
        <w:shd w:val="clear"/>
        <w:spacing w:line="360" w:lineRule="auto"/>
        <w:ind w:right="420" w:firstLine="3614" w:firstLineChars="1000"/>
        <w:rPr>
          <w:rFonts w:hint="eastAsia" w:ascii="仿宋" w:hAnsi="仿宋" w:eastAsia="仿宋" w:cs="仿宋"/>
          <w:b/>
          <w:color w:val="auto"/>
          <w:kern w:val="0"/>
          <w:sz w:val="36"/>
          <w:szCs w:val="36"/>
          <w:highlight w:val="none"/>
        </w:rPr>
      </w:pPr>
    </w:p>
    <w:p>
      <w:pPr>
        <w:shd w:val="clear"/>
        <w:spacing w:line="360" w:lineRule="auto"/>
        <w:ind w:right="420" w:firstLine="3614" w:firstLineChars="1000"/>
        <w:rPr>
          <w:rFonts w:hint="eastAsia" w:ascii="仿宋" w:hAnsi="仿宋" w:eastAsia="仿宋" w:cs="仿宋"/>
          <w:b/>
          <w:color w:val="auto"/>
          <w:kern w:val="0"/>
          <w:sz w:val="36"/>
          <w:szCs w:val="36"/>
          <w:highlight w:val="none"/>
        </w:rPr>
      </w:pPr>
    </w:p>
    <w:p>
      <w:pPr>
        <w:shd w:val="clear"/>
        <w:spacing w:line="360" w:lineRule="auto"/>
        <w:ind w:right="420" w:firstLine="3614" w:firstLineChars="1000"/>
        <w:rPr>
          <w:rFonts w:hint="eastAsia" w:ascii="仿宋" w:hAnsi="仿宋" w:eastAsia="仿宋" w:cs="仿宋"/>
          <w:b/>
          <w:color w:val="auto"/>
          <w:kern w:val="0"/>
          <w:sz w:val="36"/>
          <w:szCs w:val="36"/>
          <w:highlight w:val="none"/>
        </w:rPr>
      </w:pPr>
    </w:p>
    <w:p>
      <w:pPr>
        <w:shd w:val="clear"/>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shd w:val="clear"/>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89" w:name="_Toc465665161"/>
      <w:r>
        <w:rPr>
          <w:rFonts w:hint="eastAsia" w:ascii="仿宋" w:hAnsi="仿宋" w:eastAsia="仿宋" w:cs="仿宋"/>
          <w:color w:val="auto"/>
          <w:highlight w:val="none"/>
        </w:rPr>
        <w:t>附件</w:t>
      </w:r>
      <w:bookmarkEnd w:id="189"/>
    </w:p>
    <w:p>
      <w:pPr>
        <w:shd w:val="clea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hd w:val="clea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hd w:val="clea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pPr>
        <w:shd w:val="clea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hd w:val="clea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hd w:val="clear"/>
        <w:snapToGrid w:val="0"/>
        <w:spacing w:line="360" w:lineRule="auto"/>
        <w:rPr>
          <w:rFonts w:hint="eastAsia" w:ascii="仿宋" w:hAnsi="仿宋" w:eastAsia="仿宋" w:cs="仿宋"/>
          <w:color w:val="auto"/>
          <w:sz w:val="24"/>
          <w:highlight w:val="none"/>
        </w:rPr>
      </w:pP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hd w:val="clear"/>
        <w:snapToGrid w:val="0"/>
        <w:spacing w:line="360" w:lineRule="auto"/>
        <w:rPr>
          <w:rFonts w:hint="eastAsia" w:ascii="仿宋" w:hAnsi="仿宋" w:eastAsia="仿宋" w:cs="仿宋"/>
          <w:color w:val="auto"/>
          <w:sz w:val="24"/>
          <w:highlight w:val="none"/>
          <w:u w:val="dotted"/>
        </w:rPr>
      </w:pP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hd w:val="clea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hd w:val="clea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hd w:val="clea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pPr>
        <w:shd w:val="clear"/>
        <w:spacing w:line="360" w:lineRule="auto"/>
        <w:jc w:val="center"/>
        <w:rPr>
          <w:rFonts w:hint="eastAsia" w:ascii="仿宋" w:hAnsi="仿宋" w:eastAsia="仿宋" w:cs="仿宋"/>
          <w:b/>
          <w:bCs/>
          <w:color w:val="auto"/>
          <w:sz w:val="24"/>
          <w:highlight w:val="none"/>
        </w:rPr>
      </w:pPr>
    </w:p>
    <w:p>
      <w:pPr>
        <w:shd w:val="clear"/>
        <w:spacing w:line="360" w:lineRule="auto"/>
        <w:rPr>
          <w:rFonts w:hint="eastAsia" w:ascii="仿宋" w:hAnsi="仿宋" w:eastAsia="仿宋" w:cs="仿宋"/>
          <w:b/>
          <w:color w:val="auto"/>
          <w:sz w:val="24"/>
          <w:highlight w:val="none"/>
        </w:rPr>
      </w:pPr>
    </w:p>
    <w:p>
      <w:pPr>
        <w:shd w:val="clear"/>
        <w:spacing w:line="360" w:lineRule="auto"/>
        <w:rPr>
          <w:rFonts w:hint="eastAsia" w:ascii="仿宋" w:hAnsi="仿宋" w:eastAsia="仿宋" w:cs="仿宋"/>
          <w:b/>
          <w:color w:val="auto"/>
          <w:sz w:val="24"/>
          <w:highlight w:val="none"/>
        </w:rPr>
      </w:pPr>
    </w:p>
    <w:p>
      <w:pPr>
        <w:shd w:val="clear"/>
        <w:spacing w:line="360" w:lineRule="auto"/>
        <w:rPr>
          <w:rFonts w:hint="eastAsia" w:ascii="仿宋" w:hAnsi="仿宋" w:eastAsia="仿宋" w:cs="仿宋"/>
          <w:b/>
          <w:color w:val="auto"/>
          <w:sz w:val="24"/>
          <w:highlight w:val="none"/>
        </w:rPr>
      </w:pPr>
    </w:p>
    <w:p>
      <w:pPr>
        <w:shd w:val="clea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hint="eastAsia" w:ascii="仿宋" w:hAnsi="仿宋" w:eastAsia="仿宋" w:cs="仿宋"/>
          <w:color w:val="auto"/>
          <w:sz w:val="30"/>
          <w:szCs w:val="30"/>
          <w:highlight w:val="none"/>
        </w:rPr>
      </w:pPr>
    </w:p>
    <w:p>
      <w:pPr>
        <w:shd w:val="clear"/>
        <w:spacing w:line="360" w:lineRule="auto"/>
        <w:jc w:val="center"/>
        <w:rPr>
          <w:rFonts w:hint="eastAsia" w:ascii="仿宋" w:hAnsi="仿宋" w:eastAsia="仿宋" w:cs="仿宋"/>
          <w:b/>
          <w:color w:val="auto"/>
          <w:spacing w:val="6"/>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hd w:val="clear"/>
        <w:spacing w:line="360" w:lineRule="auto"/>
        <w:jc w:val="center"/>
        <w:rPr>
          <w:rFonts w:hint="eastAsia" w:ascii="仿宋" w:hAnsi="仿宋" w:eastAsia="仿宋" w:cs="仿宋"/>
          <w:b/>
          <w:color w:val="auto"/>
          <w:sz w:val="24"/>
          <w:highlight w:val="none"/>
        </w:rPr>
      </w:pPr>
    </w:p>
    <w:p>
      <w:pPr>
        <w:shd w:val="clea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pPr>
        <w:shd w:val="clea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shd w:val="clea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hd w:val="clea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pPr>
        <w:shd w:val="clear"/>
        <w:spacing w:line="360" w:lineRule="auto"/>
        <w:rPr>
          <w:rFonts w:hint="eastAsia" w:ascii="仿宋" w:hAnsi="仿宋" w:eastAsia="仿宋" w:cs="仿宋"/>
          <w:color w:val="auto"/>
          <w:sz w:val="24"/>
          <w:highlight w:val="none"/>
          <w:u w:val="dotted"/>
        </w:rPr>
      </w:pPr>
    </w:p>
    <w:p>
      <w:pPr>
        <w:shd w:val="clea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pPr>
        <w:shd w:val="clear"/>
        <w:spacing w:line="360" w:lineRule="auto"/>
        <w:rPr>
          <w:rFonts w:hint="eastAsia" w:ascii="仿宋" w:hAnsi="仿宋" w:eastAsia="仿宋" w:cs="仿宋"/>
          <w:color w:val="auto"/>
          <w:sz w:val="24"/>
          <w:highlight w:val="none"/>
          <w:u w:val="dotted"/>
        </w:rPr>
      </w:pPr>
    </w:p>
    <w:p>
      <w:pPr>
        <w:shd w:val="clea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hd w:val="clear"/>
        <w:spacing w:line="360" w:lineRule="auto"/>
        <w:rPr>
          <w:rFonts w:hint="eastAsia" w:ascii="仿宋" w:hAnsi="仿宋" w:eastAsia="仿宋" w:cs="仿宋"/>
          <w:color w:val="auto"/>
          <w:sz w:val="24"/>
          <w:highlight w:val="none"/>
          <w:u w:val="dotted"/>
        </w:rPr>
      </w:pP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hd w:val="clea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pPr>
        <w:shd w:val="clear"/>
        <w:spacing w:line="360" w:lineRule="auto"/>
        <w:rPr>
          <w:rFonts w:hint="eastAsia" w:ascii="仿宋" w:hAnsi="仿宋" w:eastAsia="仿宋" w:cs="仿宋"/>
          <w:color w:val="auto"/>
          <w:sz w:val="24"/>
          <w:highlight w:val="none"/>
          <w:u w:val="single"/>
        </w:rPr>
      </w:pP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pPr>
        <w:shd w:val="clear"/>
        <w:spacing w:line="360" w:lineRule="auto"/>
        <w:rPr>
          <w:rFonts w:hint="eastAsia" w:ascii="仿宋" w:hAnsi="仿宋" w:eastAsia="仿宋" w:cs="仿宋"/>
          <w:b/>
          <w:color w:val="auto"/>
          <w:sz w:val="24"/>
          <w:highlight w:val="none"/>
        </w:rPr>
      </w:pPr>
    </w:p>
    <w:p>
      <w:pPr>
        <w:shd w:val="clear"/>
        <w:spacing w:line="360" w:lineRule="auto"/>
        <w:rPr>
          <w:rFonts w:hint="eastAsia" w:ascii="仿宋" w:hAnsi="仿宋" w:eastAsia="仿宋" w:cs="仿宋"/>
          <w:b/>
          <w:color w:val="auto"/>
          <w:sz w:val="24"/>
          <w:highlight w:val="none"/>
        </w:rPr>
      </w:pPr>
    </w:p>
    <w:p>
      <w:pPr>
        <w:shd w:val="clea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hd w:val="clea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hd w:val="clea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hd w:val="clear"/>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hd w:val="clear"/>
        <w:spacing w:line="360" w:lineRule="auto"/>
        <w:rPr>
          <w:rFonts w:hint="eastAsia" w:ascii="仿宋" w:hAnsi="仿宋" w:eastAsia="仿宋" w:cs="仿宋"/>
          <w:b/>
          <w:color w:val="auto"/>
          <w:sz w:val="24"/>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hd w:val="clear"/>
        <w:spacing w:line="360" w:lineRule="auto"/>
        <w:rPr>
          <w:rFonts w:hint="eastAsia" w:ascii="仿宋" w:hAnsi="仿宋" w:eastAsia="仿宋" w:cs="仿宋"/>
          <w:color w:val="auto"/>
          <w:sz w:val="24"/>
          <w:highlight w:val="none"/>
          <w:u w:val="single"/>
        </w:rPr>
      </w:pPr>
    </w:p>
    <w:p>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hd w:val="clear"/>
        <w:spacing w:line="360" w:lineRule="auto"/>
        <w:ind w:firstLine="494"/>
        <w:rPr>
          <w:rFonts w:hint="eastAsia" w:ascii="仿宋" w:hAnsi="仿宋" w:eastAsia="仿宋" w:cs="仿宋"/>
          <w:color w:val="auto"/>
          <w:sz w:val="24"/>
          <w:highlight w:val="none"/>
        </w:rPr>
      </w:pPr>
    </w:p>
    <w:p>
      <w:pPr>
        <w:shd w:val="clear"/>
        <w:spacing w:line="360" w:lineRule="auto"/>
        <w:ind w:firstLine="494"/>
        <w:rPr>
          <w:rFonts w:hint="eastAsia" w:ascii="仿宋" w:hAnsi="仿宋" w:eastAsia="仿宋" w:cs="仿宋"/>
          <w:color w:val="auto"/>
          <w:sz w:val="24"/>
          <w:highlight w:val="none"/>
        </w:rPr>
      </w:pPr>
    </w:p>
    <w:p>
      <w:pPr>
        <w:shd w:val="clear"/>
        <w:spacing w:line="360" w:lineRule="auto"/>
        <w:ind w:firstLine="494"/>
        <w:rPr>
          <w:rFonts w:hint="eastAsia" w:ascii="仿宋" w:hAnsi="仿宋" w:eastAsia="仿宋" w:cs="仿宋"/>
          <w:color w:val="auto"/>
          <w:sz w:val="24"/>
          <w:highlight w:val="none"/>
        </w:rPr>
      </w:pPr>
    </w:p>
    <w:p>
      <w:pPr>
        <w:shd w:val="clea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shd w:val="clea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
        <w:shd w:val="clear"/>
        <w:rPr>
          <w:rFonts w:hint="eastAsia" w:ascii="仿宋" w:hAnsi="仿宋" w:eastAsia="仿宋" w:cs="仿宋"/>
          <w:color w:val="auto"/>
          <w:highlight w:val="none"/>
        </w:rPr>
      </w:pPr>
    </w:p>
    <w:p>
      <w:pPr>
        <w:shd w:val="clea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hd w:val="clea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投标单位法定名称章（印模）投标单位“XX专用章”（印模）</w:t>
      </w: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hd w:val="clear"/>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hd w:val="clear"/>
        <w:snapToGrid w:val="0"/>
        <w:spacing w:line="360" w:lineRule="auto"/>
        <w:ind w:firstLine="576"/>
        <w:rPr>
          <w:rFonts w:hint="eastAsia" w:ascii="仿宋" w:hAnsi="仿宋" w:eastAsia="仿宋" w:cs="仿宋"/>
          <w:color w:val="auto"/>
          <w:kern w:val="0"/>
          <w:sz w:val="24"/>
          <w:highlight w:val="none"/>
          <w:lang w:val="zh-CN"/>
        </w:rPr>
      </w:pPr>
      <w:bookmarkStart w:id="19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0"/>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hd w:val="clea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hd w:val="clea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hd w:val="clea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hd w:val="clea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pPr>
        <w:shd w:val="clea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hd w:val="clear"/>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shd w:val="clear"/>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hd w:val="clea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hd w:val="clea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1"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1"/>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hd w:val="clear"/>
        <w:snapToGrid w:val="0"/>
        <w:spacing w:line="360" w:lineRule="auto"/>
        <w:ind w:firstLine="576"/>
        <w:rPr>
          <w:rFonts w:hint="eastAsia" w:ascii="仿宋" w:hAnsi="仿宋" w:eastAsia="仿宋" w:cs="仿宋"/>
          <w:color w:val="auto"/>
          <w:highlight w:val="none"/>
          <w:u w:val="single"/>
        </w:rPr>
      </w:pP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hd w:val="clear"/>
        <w:snapToGrid w:val="0"/>
        <w:spacing w:line="360" w:lineRule="auto"/>
        <w:ind w:firstLine="576"/>
        <w:rPr>
          <w:rFonts w:hint="eastAsia" w:ascii="仿宋" w:hAnsi="仿宋" w:eastAsia="仿宋" w:cs="仿宋"/>
          <w:color w:val="auto"/>
          <w:kern w:val="0"/>
          <w:sz w:val="24"/>
          <w:highlight w:val="none"/>
          <w:lang w:val="zh-CN"/>
        </w:rPr>
      </w:pP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hd w:val="clear"/>
        <w:snapToGrid w:val="0"/>
        <w:spacing w:line="360" w:lineRule="auto"/>
        <w:ind w:left="573" w:leftChars="273"/>
        <w:rPr>
          <w:rFonts w:hint="eastAsia" w:ascii="仿宋" w:hAnsi="仿宋" w:eastAsia="仿宋" w:cs="仿宋"/>
          <w:color w:val="auto"/>
          <w:kern w:val="0"/>
          <w:sz w:val="24"/>
          <w:highlight w:val="none"/>
          <w:lang w:val="zh-CN"/>
        </w:rPr>
      </w:pPr>
    </w:p>
    <w:p>
      <w:pPr>
        <w:shd w:val="clea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hd w:val="clear"/>
        <w:snapToGrid w:val="0"/>
        <w:spacing w:line="360" w:lineRule="auto"/>
        <w:ind w:firstLine="576"/>
        <w:rPr>
          <w:rFonts w:hint="eastAsia" w:ascii="仿宋" w:hAnsi="仿宋" w:eastAsia="仿宋" w:cs="仿宋"/>
          <w:color w:val="auto"/>
          <w:kern w:val="0"/>
          <w:sz w:val="24"/>
          <w:highlight w:val="none"/>
          <w:lang w:val="zh-CN"/>
        </w:rPr>
      </w:pPr>
    </w:p>
    <w:p>
      <w:pPr>
        <w:shd w:val="clea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hd w:val="clear"/>
        <w:snapToGrid w:val="0"/>
        <w:spacing w:line="360" w:lineRule="auto"/>
        <w:ind w:firstLine="576"/>
        <w:rPr>
          <w:rFonts w:hint="eastAsia" w:ascii="仿宋" w:hAnsi="仿宋" w:eastAsia="仿宋" w:cs="仿宋"/>
          <w:color w:val="auto"/>
          <w:kern w:val="0"/>
          <w:sz w:val="24"/>
          <w:highlight w:val="none"/>
          <w:lang w:val="zh-CN"/>
        </w:rPr>
      </w:pPr>
    </w:p>
    <w:p>
      <w:pPr>
        <w:shd w:val="clea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hd w:val="clea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hd w:val="clea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hd w:val="clea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hd w:val="clea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pStyle w:val="2"/>
        <w:shd w:val="clear"/>
        <w:rPr>
          <w:rFonts w:hint="eastAsia" w:ascii="仿宋" w:hAnsi="仿宋" w:eastAsia="仿宋" w:cs="仿宋"/>
          <w:b/>
          <w:color w:val="auto"/>
          <w:spacing w:val="6"/>
          <w:sz w:val="32"/>
          <w:szCs w:val="32"/>
          <w:highlight w:val="none"/>
        </w:rPr>
      </w:pPr>
    </w:p>
    <w:p>
      <w:pPr>
        <w:pStyle w:val="3"/>
        <w:shd w:val="clear"/>
        <w:rPr>
          <w:rFonts w:hint="eastAsia" w:ascii="仿宋" w:hAnsi="仿宋" w:eastAsia="仿宋" w:cs="仿宋"/>
          <w:b/>
          <w:color w:val="auto"/>
          <w:spacing w:val="6"/>
          <w:sz w:val="32"/>
          <w:szCs w:val="32"/>
          <w:highlight w:val="none"/>
        </w:rPr>
      </w:pPr>
    </w:p>
    <w:p>
      <w:pPr>
        <w:shd w:val="clear"/>
        <w:rPr>
          <w:rFonts w:hint="eastAsia" w:ascii="仿宋" w:hAnsi="仿宋" w:eastAsia="仿宋" w:cs="仿宋"/>
          <w:b/>
          <w:color w:val="auto"/>
          <w:spacing w:val="6"/>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pStyle w:val="2"/>
        <w:shd w:val="clear"/>
        <w:rPr>
          <w:rFonts w:hint="eastAsia" w:ascii="仿宋" w:hAnsi="仿宋" w:eastAsia="仿宋" w:cs="仿宋"/>
          <w:b/>
          <w:color w:val="auto"/>
          <w:spacing w:val="6"/>
          <w:sz w:val="32"/>
          <w:szCs w:val="32"/>
          <w:highlight w:val="none"/>
        </w:rPr>
      </w:pPr>
    </w:p>
    <w:p>
      <w:pPr>
        <w:pStyle w:val="3"/>
        <w:shd w:val="clear"/>
        <w:rPr>
          <w:rFonts w:hint="eastAsia" w:ascii="仿宋" w:hAnsi="仿宋" w:eastAsia="仿宋" w:cs="仿宋"/>
          <w:color w:val="auto"/>
          <w:highlight w:val="none"/>
        </w:rPr>
      </w:pPr>
    </w:p>
    <w:p>
      <w:pPr>
        <w:shd w:val="clear"/>
        <w:spacing w:line="360" w:lineRule="auto"/>
        <w:rPr>
          <w:rFonts w:hint="eastAsia" w:ascii="仿宋" w:hAnsi="仿宋" w:eastAsia="仿宋" w:cs="仿宋"/>
          <w:b/>
          <w:color w:val="auto"/>
          <w:spacing w:val="6"/>
          <w:sz w:val="32"/>
          <w:szCs w:val="32"/>
          <w:highlight w:val="none"/>
        </w:rPr>
      </w:pPr>
      <w:bookmarkStart w:id="192" w:name="OLE_LINK13"/>
      <w:bookmarkStart w:id="193" w:name="OLE_LINK14"/>
    </w:p>
    <w:p>
      <w:pPr>
        <w:shd w:val="clea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hd w:val="clea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2"/>
    <w:bookmarkEnd w:id="193"/>
    <w:p>
      <w:pPr>
        <w:shd w:val="clear"/>
        <w:spacing w:line="360" w:lineRule="auto"/>
        <w:rPr>
          <w:rFonts w:hint="eastAsia" w:ascii="仿宋" w:hAnsi="仿宋" w:eastAsia="仿宋" w:cs="仿宋"/>
          <w:b/>
          <w:color w:val="auto"/>
          <w:spacing w:val="6"/>
          <w:sz w:val="30"/>
          <w:szCs w:val="30"/>
          <w:highlight w:val="none"/>
        </w:rPr>
      </w:pP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hd w:val="clear"/>
        <w:spacing w:line="360" w:lineRule="auto"/>
        <w:ind w:firstLine="480" w:firstLineChars="200"/>
        <w:rPr>
          <w:rFonts w:hint="eastAsia" w:ascii="仿宋" w:hAnsi="仿宋" w:eastAsia="仿宋" w:cs="仿宋"/>
          <w:color w:val="auto"/>
          <w:sz w:val="24"/>
          <w:highlight w:val="none"/>
        </w:rPr>
      </w:pPr>
    </w:p>
    <w:p>
      <w:pPr>
        <w:shd w:val="clear"/>
        <w:spacing w:line="360" w:lineRule="auto"/>
        <w:ind w:firstLine="480" w:firstLineChars="200"/>
        <w:rPr>
          <w:rFonts w:hint="eastAsia" w:ascii="仿宋" w:hAnsi="仿宋" w:eastAsia="仿宋" w:cs="仿宋"/>
          <w:color w:val="auto"/>
          <w:sz w:val="24"/>
          <w:highlight w:val="none"/>
        </w:rPr>
      </w:pPr>
    </w:p>
    <w:p>
      <w:pPr>
        <w:shd w:val="clea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shd w:val="clea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autoSpaceDE w:val="0"/>
        <w:autoSpaceDN w:val="0"/>
        <w:jc w:val="center"/>
        <w:rPr>
          <w:rFonts w:hint="eastAsia" w:ascii="仿宋" w:hAnsi="仿宋" w:eastAsia="仿宋" w:cs="仿宋"/>
          <w:b/>
          <w:color w:val="auto"/>
          <w:spacing w:val="6"/>
          <w:sz w:val="32"/>
          <w:szCs w:val="32"/>
          <w:highlight w:val="none"/>
        </w:rPr>
      </w:pPr>
    </w:p>
    <w:p>
      <w:pPr>
        <w:shd w:val="clea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hd w:val="clear"/>
        <w:spacing w:line="360" w:lineRule="auto"/>
        <w:jc w:val="center"/>
        <w:rPr>
          <w:rFonts w:hint="eastAsia" w:ascii="仿宋" w:hAnsi="仿宋" w:eastAsia="仿宋" w:cs="仿宋"/>
          <w:color w:val="auto"/>
          <w:sz w:val="24"/>
          <w:highlight w:val="none"/>
          <w:u w:val="single"/>
        </w:rPr>
      </w:pPr>
    </w:p>
    <w:p>
      <w:pPr>
        <w:shd w:val="clea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hd w:val="clea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hd w:val="clea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hd w:val="clea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hd w:val="clea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hd w:val="clea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hd w:val="clea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shd w:val="clear"/>
        <w:spacing w:line="360" w:lineRule="auto"/>
        <w:jc w:val="center"/>
        <w:rPr>
          <w:rFonts w:hint="eastAsia" w:ascii="仿宋" w:hAnsi="仿宋" w:eastAsia="仿宋" w:cs="仿宋"/>
          <w:b/>
          <w:color w:val="auto"/>
          <w:sz w:val="32"/>
          <w:szCs w:val="32"/>
          <w:highlight w:val="none"/>
        </w:rPr>
      </w:pPr>
    </w:p>
    <w:p>
      <w:pPr>
        <w:pageBreakBefore/>
        <w:shd w:val="clear" w:color="auto"/>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shd w:val="clear"/>
        <w:rPr>
          <w:rFonts w:hint="eastAsia" w:ascii="仿宋" w:hAnsi="仿宋" w:eastAsia="仿宋" w:cs="仿宋"/>
          <w:color w:val="auto"/>
          <w:highlight w:val="none"/>
          <w:lang w:val="en-US"/>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shd w:val="clear"/>
        <w:jc w:val="left"/>
        <w:rPr>
          <w:rFonts w:hint="eastAsia" w:ascii="仿宋" w:hAnsi="仿宋" w:eastAsia="仿宋" w:cs="仿宋"/>
          <w:color w:val="auto"/>
          <w:kern w:val="0"/>
          <w:sz w:val="24"/>
          <w:highlight w:val="none"/>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shd w:val="clear"/>
              <w:autoSpaceDE w:val="0"/>
              <w:autoSpaceDN w:val="0"/>
              <w:spacing w:before="100" w:after="100"/>
              <w:ind w:left="360" w:right="36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hint="eastAsia" w:ascii="仿宋" w:hAnsi="仿宋" w:eastAsia="仿宋" w:cs="仿宋"/>
                <w:color w:val="auto"/>
                <w:kern w:val="0"/>
                <w:sz w:val="24"/>
                <w:highlight w:val="none"/>
              </w:rPr>
            </w:pPr>
          </w:p>
        </w:tc>
        <w:tc>
          <w:tcPr>
            <w:tcW w:w="1560"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hd w:val="clear"/>
              <w:autoSpaceDE w:val="0"/>
              <w:autoSpaceDN w:val="0"/>
              <w:spacing w:before="100" w:after="100"/>
              <w:ind w:left="360" w:right="36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shd w:val="clear"/>
        <w:jc w:val="left"/>
        <w:rPr>
          <w:rFonts w:hint="eastAsia" w:ascii="仿宋" w:hAnsi="仿宋" w:eastAsia="仿宋" w:cs="仿宋"/>
          <w:color w:val="auto"/>
          <w:kern w:val="0"/>
          <w:sz w:val="24"/>
          <w:highlight w:val="none"/>
        </w:rPr>
      </w:pPr>
    </w:p>
    <w:p>
      <w:pPr>
        <w:widowControl/>
        <w:shd w:val="clear"/>
        <w:jc w:val="left"/>
        <w:rPr>
          <w:rFonts w:hint="eastAsia" w:ascii="仿宋" w:hAnsi="仿宋" w:eastAsia="仿宋" w:cs="仿宋"/>
          <w:color w:val="auto"/>
          <w:kern w:val="0"/>
          <w:sz w:val="24"/>
          <w:highlight w:val="none"/>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shd w:val="clear"/>
        <w:jc w:val="left"/>
        <w:rPr>
          <w:rFonts w:hint="eastAsia" w:ascii="仿宋" w:hAnsi="仿宋" w:eastAsia="仿宋" w:cs="仿宋"/>
          <w:color w:val="auto"/>
          <w:kern w:val="0"/>
          <w:sz w:val="18"/>
          <w:szCs w:val="18"/>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widowControl/>
        <w:shd w:val="clear"/>
        <w:jc w:val="left"/>
        <w:rPr>
          <w:rFonts w:hint="eastAsia" w:ascii="仿宋" w:hAnsi="仿宋" w:eastAsia="仿宋" w:cs="仿宋"/>
          <w:color w:val="auto"/>
          <w:kern w:val="0"/>
          <w:sz w:val="18"/>
          <w:szCs w:val="18"/>
          <w:highlight w:val="none"/>
        </w:rPr>
      </w:pPr>
    </w:p>
    <w:p>
      <w:pPr>
        <w:widowControl/>
        <w:shd w:val="clear"/>
        <w:jc w:val="left"/>
        <w:rPr>
          <w:rFonts w:hint="eastAsia" w:ascii="仿宋" w:hAnsi="仿宋" w:eastAsia="仿宋" w:cs="仿宋"/>
          <w:color w:val="auto"/>
          <w:kern w:val="0"/>
          <w:sz w:val="18"/>
          <w:szCs w:val="18"/>
          <w:highlight w:val="none"/>
        </w:rPr>
      </w:pPr>
    </w:p>
    <w:p>
      <w:pPr>
        <w:widowControl/>
        <w:shd w:val="clear" w:color="auto"/>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pStyle w:val="2"/>
        <w:shd w:val="clear"/>
        <w:rPr>
          <w:rFonts w:hint="eastAsia" w:ascii="仿宋" w:hAnsi="仿宋" w:eastAsia="仿宋" w:cs="仿宋"/>
          <w:color w:val="auto"/>
          <w:highlight w:val="none"/>
        </w:rPr>
      </w:pPr>
    </w:p>
    <w:p>
      <w:pPr>
        <w:pStyle w:val="3"/>
        <w:shd w:val="clear"/>
        <w:rPr>
          <w:rFonts w:hint="eastAsia" w:ascii="仿宋" w:hAnsi="仿宋" w:eastAsia="仿宋" w:cs="仿宋"/>
          <w:color w:val="auto"/>
          <w:highlight w:val="none"/>
        </w:rPr>
      </w:pP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pPr>
              <w:widowControl/>
              <w:shd w:val="clear"/>
              <w:autoSpaceDE w:val="0"/>
              <w:autoSpaceDN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pPr>
              <w:widowControl/>
              <w:shd w:val="clear"/>
              <w:autoSpaceDE w:val="0"/>
              <w:autoSpaceDN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pPr>
              <w:widowControl/>
              <w:shd w:val="clear"/>
              <w:autoSpaceDE w:val="0"/>
              <w:autoSpaceDN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pPr>
              <w:widowControl/>
              <w:shd w:val="clear"/>
              <w:autoSpaceDE w:val="0"/>
              <w:autoSpaceDN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autoSpaceDE w:val="0"/>
              <w:autoSpaceDN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shd w:val="clear"/>
              <w:autoSpaceDE w:val="0"/>
              <w:autoSpaceDN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shd w:val="clear"/>
              <w:autoSpaceDE w:val="0"/>
              <w:autoSpaceDN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shd w:val="clear"/>
              <w:autoSpaceDE w:val="0"/>
              <w:autoSpaceDN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autoSpaceDE w:val="0"/>
              <w:autoSpaceDN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hint="eastAsia" w:ascii="仿宋" w:hAnsi="仿宋" w:eastAsia="仿宋" w:cs="仿宋"/>
                <w:color w:val="auto"/>
                <w:kern w:val="0"/>
                <w:sz w:val="24"/>
                <w:highlight w:val="none"/>
              </w:rPr>
            </w:pPr>
          </w:p>
        </w:tc>
        <w:tc>
          <w:tcPr>
            <w:tcW w:w="1025" w:type="dxa"/>
            <w:vMerge w:val="continue"/>
            <w:vAlign w:val="center"/>
          </w:tcPr>
          <w:p>
            <w:pPr>
              <w:widowControl/>
              <w:shd w:val="clear"/>
              <w:jc w:val="left"/>
              <w:rPr>
                <w:rFonts w:hint="eastAsia" w:ascii="仿宋" w:hAnsi="仿宋" w:eastAsia="仿宋" w:cs="仿宋"/>
                <w:color w:val="auto"/>
                <w:kern w:val="0"/>
                <w:sz w:val="24"/>
                <w:highlight w:val="none"/>
              </w:rPr>
            </w:pPr>
          </w:p>
        </w:tc>
        <w:tc>
          <w:tcPr>
            <w:tcW w:w="2836" w:type="dxa"/>
            <w:vMerge w:val="continue"/>
            <w:vAlign w:val="center"/>
          </w:tcPr>
          <w:p>
            <w:pPr>
              <w:widowControl/>
              <w:shd w:val="clear"/>
              <w:jc w:val="left"/>
              <w:rPr>
                <w:rFonts w:hint="eastAsia" w:ascii="仿宋" w:hAnsi="仿宋" w:eastAsia="仿宋" w:cs="仿宋"/>
                <w:color w:val="auto"/>
                <w:kern w:val="0"/>
                <w:sz w:val="24"/>
                <w:highlight w:val="none"/>
              </w:rPr>
            </w:pPr>
          </w:p>
        </w:tc>
        <w:tc>
          <w:tcPr>
            <w:tcW w:w="60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shd w:val="clear"/>
        <w:rPr>
          <w:rFonts w:hint="eastAsia" w:ascii="仿宋" w:hAnsi="仿宋" w:eastAsia="仿宋" w:cs="仿宋"/>
          <w:color w:val="auto"/>
          <w:sz w:val="24"/>
          <w:highlight w:val="none"/>
        </w:rPr>
      </w:pPr>
    </w:p>
    <w:p>
      <w:pPr>
        <w:shd w:val="clear"/>
        <w:ind w:firstLine="420" w:firstLineChars="200"/>
        <w:rPr>
          <w:rFonts w:hint="eastAsia" w:ascii="仿宋" w:hAnsi="仿宋" w:eastAsia="仿宋" w:cs="仿宋"/>
          <w:color w:val="auto"/>
          <w:highlight w:val="none"/>
        </w:rPr>
      </w:pPr>
    </w:p>
    <w:p>
      <w:pPr>
        <w:shd w:val="clear"/>
        <w:spacing w:line="360" w:lineRule="auto"/>
        <w:rPr>
          <w:rFonts w:hint="eastAsia" w:ascii="仿宋" w:hAnsi="仿宋" w:eastAsia="仿宋" w:cs="仿宋"/>
          <w:bCs/>
          <w:color w:val="auto"/>
          <w:sz w:val="24"/>
          <w:highlight w:val="none"/>
        </w:rPr>
      </w:pPr>
    </w:p>
    <w:bookmarkEnd w:id="194"/>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5"/>
      <w:docPartObj>
        <w:docPartGallery w:val="autotext"/>
      </w:docPartObj>
    </w:sdtPr>
    <w:sdtContent>
      <w:p>
        <w:pPr>
          <w:pStyle w:val="42"/>
          <w:jc w:val="center"/>
        </w:pPr>
        <w:r>
          <w:fldChar w:fldCharType="begin"/>
        </w:r>
        <w:r>
          <w:instrText xml:space="preserve"> PAGE   \* MERGEFORMAT </w:instrText>
        </w:r>
        <w:r>
          <w:fldChar w:fldCharType="separate"/>
        </w:r>
        <w:r>
          <w:rPr>
            <w:lang w:val="zh-CN"/>
          </w:rPr>
          <w:t>63</w:t>
        </w:r>
        <w:r>
          <w:rPr>
            <w:lang w:val="zh-CN"/>
          </w:rPr>
          <w:fldChar w:fldCharType="end"/>
        </w:r>
      </w:p>
    </w:sdtContent>
  </w:sdt>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4"/>
      <w:docPartObj>
        <w:docPartGallery w:val="autotext"/>
      </w:docPartObj>
    </w:sdtPr>
    <w:sdtContent>
      <w:p>
        <w:pPr>
          <w:pStyle w:val="42"/>
          <w:jc w:val="center"/>
        </w:pPr>
        <w:r>
          <w:fldChar w:fldCharType="begin"/>
        </w:r>
        <w:r>
          <w:instrText xml:space="preserve"> PAGE   \* MERGEFORMAT </w:instrText>
        </w:r>
        <w:r>
          <w:fldChar w:fldCharType="separate"/>
        </w:r>
        <w:r>
          <w:rPr>
            <w:lang w:val="zh-CN"/>
          </w:rPr>
          <w:t>62</w:t>
        </w:r>
        <w:r>
          <w:rPr>
            <w:lang w:val="zh-CN"/>
          </w:rPr>
          <w:fldChar w:fldCharType="end"/>
        </w:r>
      </w:p>
    </w:sdtContent>
  </w:sdt>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84</w:t>
    </w:r>
    <w:r>
      <w:rPr>
        <w:lang w:val="zh-CN"/>
      </w:rPr>
      <w:fldChar w:fldCharType="end"/>
    </w:r>
  </w:p>
  <w:p>
    <w:pPr>
      <w:pStyle w:val="42"/>
      <w:jc w:val="center"/>
      <w:rPr>
        <w:rFonts w:ascii="仿宋_GB2312" w:eastAsia="仿宋_GB231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64</w:t>
    </w:r>
    <w:r>
      <w:rPr>
        <w:lang w:val="zh-CN"/>
      </w:rPr>
      <w:fldChar w:fldCharType="end"/>
    </w:r>
  </w:p>
  <w:p>
    <w:pPr>
      <w:pStyle w:val="42"/>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1"/>
      <w:docPartObj>
        <w:docPartGallery w:val="autotext"/>
      </w:docPartObj>
    </w:sdtPr>
    <w:sdtContent>
      <w:p>
        <w:pPr>
          <w:pStyle w:val="42"/>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2"/>
      <w:docPartObj>
        <w:docPartGallery w:val="autotext"/>
      </w:docPartObj>
    </w:sdtPr>
    <w:sdtContent>
      <w:p>
        <w:pPr>
          <w:pStyle w:val="42"/>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42"/>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4"/>
      <w:docPartObj>
        <w:docPartGallery w:val="autotext"/>
      </w:docPartObj>
    </w:sdtPr>
    <w:sdtContent>
      <w:p>
        <w:pPr>
          <w:pStyle w:val="42"/>
          <w:jc w:val="center"/>
        </w:pPr>
        <w:r>
          <w:fldChar w:fldCharType="begin"/>
        </w:r>
        <w:r>
          <w:instrText xml:space="preserve"> PAGE   \* MERGEFORMAT </w:instrText>
        </w:r>
        <w:r>
          <w:fldChar w:fldCharType="separate"/>
        </w:r>
        <w:r>
          <w:rPr>
            <w:lang w:val="zh-CN"/>
          </w:rPr>
          <w:t>15</w:t>
        </w:r>
        <w:r>
          <w:rPr>
            <w:lang w:val="zh-CN"/>
          </w:rPr>
          <w:fldChar w:fldCharType="end"/>
        </w:r>
      </w:p>
    </w:sdtContent>
  </w:sdt>
  <w:p>
    <w:pPr>
      <w:pStyle w:val="42"/>
      <w:jc w:val="cente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1"/>
      <w:docPartObj>
        <w:docPartGallery w:val="autotext"/>
      </w:docPartObj>
    </w:sdtPr>
    <w:sdtContent>
      <w:p>
        <w:pPr>
          <w:pStyle w:val="42"/>
          <w:jc w:val="center"/>
        </w:pPr>
        <w:r>
          <w:fldChar w:fldCharType="begin"/>
        </w:r>
        <w:r>
          <w:instrText xml:space="preserve"> PAGE   \* MERGEFORMAT </w:instrText>
        </w:r>
        <w:r>
          <w:fldChar w:fldCharType="separate"/>
        </w:r>
        <w:r>
          <w:rPr>
            <w:lang w:val="zh-CN"/>
          </w:rPr>
          <w:t>60</w:t>
        </w:r>
        <w:r>
          <w:rPr>
            <w:lang w:val="zh-CN"/>
          </w:rPr>
          <w:fldChar w:fldCharType="end"/>
        </w:r>
      </w:p>
    </w:sdtContent>
  </w:sdt>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8"/>
      <w:docPartObj>
        <w:docPartGallery w:val="autotext"/>
      </w:docPartObj>
    </w:sdtPr>
    <w:sdtContent>
      <w:p>
        <w:pPr>
          <w:pStyle w:val="42"/>
          <w:jc w:val="center"/>
        </w:pPr>
        <w:r>
          <w:fldChar w:fldCharType="begin"/>
        </w:r>
        <w:r>
          <w:instrText xml:space="preserve"> PAGE   \* MERGEFORMAT </w:instrText>
        </w:r>
        <w:r>
          <w:fldChar w:fldCharType="separate"/>
        </w:r>
        <w:r>
          <w:rPr>
            <w:lang w:val="zh-CN"/>
          </w:rPr>
          <w:t>29</w:t>
        </w:r>
        <w:r>
          <w:rPr>
            <w:lang w:val="zh-CN"/>
          </w:rPr>
          <w:fldChar w:fldCharType="end"/>
        </w:r>
      </w:p>
    </w:sdtContent>
  </w:sdt>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lang w:val="zh-CN"/>
      </w:rPr>
      <w:t>[键入文字]</w:t>
    </w:r>
  </w:p>
  <w:p>
    <w:pPr>
      <w:pStyle w:val="43"/>
      <w:ind w:firstLine="360" w:firstLineChars="20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rPr>
        <w:rFonts w:ascii="仿宋_GB2312" w:eastAsia="仿宋_GB2312"/>
        <w:i/>
        <w:u w:val="single"/>
      </w:rPr>
    </w:pPr>
    <w:r>
      <w:rPr>
        <w:rFonts w:hint="eastAsia" w:ascii="仿宋" w:hAnsi="仿宋" w:eastAsia="仿宋" w:cs="仿宋"/>
      </w:rPr>
      <w:t>（代理机构）                              文件编号: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pPr>
    <w:r>
      <w:rPr>
        <w:rFonts w:hint="eastAsia" w:ascii="仿宋" w:hAnsi="仿宋" w:eastAsia="仿宋" w:cs="仿宋"/>
      </w:rPr>
      <w:t>（代理机构）                              文件编号:</w:t>
    </w:r>
  </w:p>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pPr>
    <w:r>
      <w:rPr>
        <w:rFonts w:hint="eastAsia" w:ascii="仿宋" w:hAnsi="仿宋" w:eastAsia="仿宋" w:cs="仿宋"/>
      </w:rPr>
      <w:t>（代理机构）                              文件编号:</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pPr>
    <w:r>
      <w:rPr>
        <w:rFonts w:hint="eastAsia" w:ascii="仿宋" w:hAnsi="仿宋" w:eastAsia="仿宋" w:cs="仿宋"/>
      </w:rPr>
      <w:t>（代理机构）                              文件编号:</w:t>
    </w:r>
  </w:p>
  <w:p>
    <w:pPr>
      <w:pStyle w:val="43"/>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450" w:firstLineChars="250"/>
      <w:jc w:val="left"/>
    </w:pPr>
    <w:r>
      <w:rPr>
        <w:rFonts w:hint="eastAsia" w:ascii="仿宋" w:hAnsi="仿宋" w:eastAsia="仿宋" w:cs="仿宋"/>
      </w:rPr>
      <w:t>（代理机构）                              文件编号: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rPr>
        <w:rFonts w:ascii="仿宋_GB2312" w:eastAsia="仿宋_GB2312"/>
        <w:b/>
        <w:i/>
        <w:iCs/>
        <w:u w:val="single"/>
      </w:rPr>
    </w:pPr>
    <w:r>
      <w:rPr>
        <w:rFonts w:hint="eastAsia" w:ascii="仿宋" w:hAnsi="仿宋" w:eastAsia="仿宋" w:cs="仿宋"/>
      </w:rPr>
      <w:t>（代理机构）                              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6E7EC"/>
    <w:multiLevelType w:val="singleLevel"/>
    <w:tmpl w:val="86F6E7EC"/>
    <w:lvl w:ilvl="0" w:tentative="0">
      <w:start w:val="1"/>
      <w:numFmt w:val="decimal"/>
      <w:suff w:val="nothing"/>
      <w:lvlText w:val="%1、"/>
      <w:lvlJc w:val="left"/>
    </w:lvl>
  </w:abstractNum>
  <w:abstractNum w:abstractNumId="1">
    <w:nsid w:val="E83C9C64"/>
    <w:multiLevelType w:val="singleLevel"/>
    <w:tmpl w:val="E83C9C64"/>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yNTI2ZGMzZjczMzRlOTJhOTM1MzhlNDA5NjBiNzUifQ=="/>
    <w:docVar w:name="KSO_WPS_MARK_KEY" w:val="477bae74-9cb1-4e61-8b7a-4d5e3ade96b8"/>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2A135D3"/>
    <w:rsid w:val="030B2A3C"/>
    <w:rsid w:val="033E089E"/>
    <w:rsid w:val="06D74677"/>
    <w:rsid w:val="08055D61"/>
    <w:rsid w:val="0983157E"/>
    <w:rsid w:val="0EC13A9B"/>
    <w:rsid w:val="0FA0239A"/>
    <w:rsid w:val="100D1044"/>
    <w:rsid w:val="11E15E46"/>
    <w:rsid w:val="121F2229"/>
    <w:rsid w:val="12A53ED4"/>
    <w:rsid w:val="14127BE9"/>
    <w:rsid w:val="169E17AF"/>
    <w:rsid w:val="1A2D5575"/>
    <w:rsid w:val="1DC60CD2"/>
    <w:rsid w:val="1F8107A2"/>
    <w:rsid w:val="215539A5"/>
    <w:rsid w:val="21E76A46"/>
    <w:rsid w:val="262A090C"/>
    <w:rsid w:val="2AB63109"/>
    <w:rsid w:val="2CCE2AC6"/>
    <w:rsid w:val="2CDA6E57"/>
    <w:rsid w:val="2D451FCE"/>
    <w:rsid w:val="2EB76A8C"/>
    <w:rsid w:val="2FB387B1"/>
    <w:rsid w:val="31602B89"/>
    <w:rsid w:val="33AB1655"/>
    <w:rsid w:val="375DD4D9"/>
    <w:rsid w:val="39F0038E"/>
    <w:rsid w:val="3D2C012D"/>
    <w:rsid w:val="3F326AC0"/>
    <w:rsid w:val="3FBB50FC"/>
    <w:rsid w:val="3FE22C62"/>
    <w:rsid w:val="41D23BA4"/>
    <w:rsid w:val="487D02D7"/>
    <w:rsid w:val="4DE4148C"/>
    <w:rsid w:val="4EB90223"/>
    <w:rsid w:val="4FAE554B"/>
    <w:rsid w:val="50C301CB"/>
    <w:rsid w:val="54E82154"/>
    <w:rsid w:val="57BE0845"/>
    <w:rsid w:val="57DAE6E1"/>
    <w:rsid w:val="5AAE2233"/>
    <w:rsid w:val="5D223A8C"/>
    <w:rsid w:val="5E304BA5"/>
    <w:rsid w:val="5F665FB3"/>
    <w:rsid w:val="642152E2"/>
    <w:rsid w:val="65077AE2"/>
    <w:rsid w:val="66860EEB"/>
    <w:rsid w:val="699F643D"/>
    <w:rsid w:val="6AEF1016"/>
    <w:rsid w:val="6BDE9320"/>
    <w:rsid w:val="6BE25969"/>
    <w:rsid w:val="6EE257F1"/>
    <w:rsid w:val="6FBF48F2"/>
    <w:rsid w:val="70425E72"/>
    <w:rsid w:val="72726C46"/>
    <w:rsid w:val="729E74BD"/>
    <w:rsid w:val="73851558"/>
    <w:rsid w:val="7EB7B118"/>
    <w:rsid w:val="7EBD400C"/>
    <w:rsid w:val="7F4DBC21"/>
    <w:rsid w:val="7FBE714E"/>
    <w:rsid w:val="97779E76"/>
    <w:rsid w:val="B8DDB7B1"/>
    <w:rsid w:val="BD7364EB"/>
    <w:rsid w:val="BFE70442"/>
    <w:rsid w:val="D5FF0E16"/>
    <w:rsid w:val="DD7BA43F"/>
    <w:rsid w:val="E7FFB19C"/>
    <w:rsid w:val="ECDF148A"/>
    <w:rsid w:val="EEFE0B19"/>
    <w:rsid w:val="F401ED42"/>
    <w:rsid w:val="F7ED49B4"/>
    <w:rsid w:val="F95B2BC0"/>
    <w:rsid w:val="FB742281"/>
    <w:rsid w:val="FCBF906A"/>
    <w:rsid w:val="FDFB3583"/>
    <w:rsid w:val="FEE72649"/>
    <w:rsid w:val="FFB93E94"/>
    <w:rsid w:val="FFFF1C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0"/>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191</Pages>
  <Words>114775</Words>
  <Characters>120559</Characters>
  <Lines>338</Lines>
  <Paragraphs>95</Paragraphs>
  <TotalTime>39</TotalTime>
  <ScaleCrop>false</ScaleCrop>
  <LinksUpToDate>false</LinksUpToDate>
  <CharactersWithSpaces>123200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2023-12-28T10:08:00Z</dcterms:created>
  <dc:creator>玥</dc:creator>
  <cp:lastModifiedBy>芝士边</cp:lastModifiedBy>
  <cp:lastPrinted>2024-06-14T14:23:00Z</cp:lastPrinted>
  <dcterms:modified xsi:type="dcterms:W3CDTF">2024-06-18T07:08:32Z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B54027D8E6C64BD1ABB38D2918B11BAB_13</vt:lpwstr>
  </property>
</Properties>
</file>